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AA047" w14:textId="77777777" w:rsidR="00F8535F" w:rsidRDefault="00F8535F"/>
    <w:p w14:paraId="3673A20E" w14:textId="77777777" w:rsidR="00422232" w:rsidRDefault="00422232"/>
    <w:p w14:paraId="0DB7D5D4" w14:textId="77777777" w:rsidR="00C72001" w:rsidRPr="005B2AD3" w:rsidRDefault="00C72001" w:rsidP="00C72001">
      <w:pPr>
        <w:pBdr>
          <w:top w:val="nil"/>
          <w:left w:val="nil"/>
          <w:bottom w:val="nil"/>
          <w:right w:val="nil"/>
          <w:between w:val="nil"/>
        </w:pBdr>
      </w:pPr>
      <w:r w:rsidRPr="005B2AD3">
        <w:t>Zagreb, Park Ribnjak 1</w:t>
      </w:r>
    </w:p>
    <w:p w14:paraId="6092DE36" w14:textId="77777777" w:rsidR="00C72001" w:rsidRPr="005B2AD3" w:rsidRDefault="00C72001" w:rsidP="00C72001">
      <w:pPr>
        <w:pBdr>
          <w:top w:val="nil"/>
          <w:left w:val="nil"/>
          <w:bottom w:val="nil"/>
          <w:right w:val="nil"/>
          <w:between w:val="nil"/>
        </w:pBdr>
      </w:pPr>
      <w:r w:rsidRPr="005B2AD3">
        <w:t>tel: 01/4814 734</w:t>
      </w:r>
    </w:p>
    <w:p w14:paraId="7D63A04B" w14:textId="77777777" w:rsidR="00C72001" w:rsidRPr="005B2AD3" w:rsidRDefault="00C72001" w:rsidP="00C72001">
      <w:pPr>
        <w:pBdr>
          <w:top w:val="nil"/>
          <w:left w:val="nil"/>
          <w:bottom w:val="nil"/>
          <w:right w:val="nil"/>
          <w:between w:val="nil"/>
        </w:pBdr>
      </w:pPr>
      <w:r w:rsidRPr="005B2AD3">
        <w:t xml:space="preserve">e-mail: </w:t>
      </w:r>
      <w:hyperlink r:id="rId7">
        <w:r w:rsidRPr="005B2AD3">
          <w:rPr>
            <w:u w:val="single"/>
          </w:rPr>
          <w:t>cmr@cmr.hr</w:t>
        </w:r>
      </w:hyperlink>
    </w:p>
    <w:p w14:paraId="720965EA" w14:textId="77777777" w:rsidR="00C72001" w:rsidRPr="005B2AD3" w:rsidRDefault="00C72001" w:rsidP="00C72001">
      <w:pPr>
        <w:pBdr>
          <w:top w:val="nil"/>
          <w:left w:val="nil"/>
          <w:bottom w:val="nil"/>
          <w:right w:val="nil"/>
          <w:between w:val="nil"/>
        </w:pBdr>
      </w:pPr>
      <w:r w:rsidRPr="00AF1150">
        <w:t>URBROJ: 99/25 od  31. 1.  2025.</w:t>
      </w:r>
    </w:p>
    <w:p w14:paraId="482361A5" w14:textId="77777777" w:rsidR="00422232" w:rsidRDefault="00422232" w:rsidP="00422232">
      <w:pPr>
        <w:pStyle w:val="Naslov3"/>
        <w:shd w:val="clear" w:color="auto" w:fill="FFFFFF"/>
        <w:spacing w:line="300" w:lineRule="atLeast"/>
        <w:rPr>
          <w:color w:val="000000" w:themeColor="text1"/>
          <w:sz w:val="24"/>
          <w:szCs w:val="24"/>
        </w:rPr>
      </w:pPr>
    </w:p>
    <w:p w14:paraId="1065C060" w14:textId="77777777" w:rsidR="00422232" w:rsidRPr="00422232" w:rsidRDefault="00422232" w:rsidP="00422232">
      <w:pPr>
        <w:pStyle w:val="Naslov3"/>
        <w:shd w:val="clear" w:color="auto" w:fill="FFFFFF"/>
        <w:spacing w:line="300" w:lineRule="atLeast"/>
        <w:rPr>
          <w:color w:val="000000" w:themeColor="text1"/>
          <w:sz w:val="24"/>
          <w:szCs w:val="24"/>
        </w:rPr>
      </w:pPr>
    </w:p>
    <w:p w14:paraId="2A91D6A7" w14:textId="77777777" w:rsidR="00422232" w:rsidRDefault="00422232"/>
    <w:p w14:paraId="37E48BDA" w14:textId="77777777" w:rsidR="00422232" w:rsidRDefault="00422232"/>
    <w:p w14:paraId="55D5F319" w14:textId="77777777" w:rsidR="00422232" w:rsidRDefault="00422232"/>
    <w:p w14:paraId="0BDBFC2C" w14:textId="77777777" w:rsidR="00422232" w:rsidRDefault="00422232"/>
    <w:p w14:paraId="1165E1A7" w14:textId="77777777" w:rsidR="00422232" w:rsidRDefault="00422232"/>
    <w:p w14:paraId="0C8E89F4" w14:textId="77777777" w:rsidR="00422232" w:rsidRDefault="00422232"/>
    <w:p w14:paraId="534F17A7" w14:textId="77777777" w:rsidR="00422232" w:rsidRDefault="00422232"/>
    <w:p w14:paraId="1C4B3C7C" w14:textId="77777777" w:rsidR="00422232" w:rsidRDefault="00422232"/>
    <w:p w14:paraId="0D5C1A38" w14:textId="77777777" w:rsidR="00422232" w:rsidRPr="00C8263B" w:rsidRDefault="00422232" w:rsidP="00422232">
      <w:pPr>
        <w:jc w:val="center"/>
        <w:rPr>
          <w:b/>
          <w:color w:val="000000"/>
          <w:sz w:val="36"/>
          <w:szCs w:val="36"/>
        </w:rPr>
      </w:pPr>
      <w:r w:rsidRPr="00C8263B">
        <w:rPr>
          <w:b/>
          <w:color w:val="000000"/>
          <w:sz w:val="36"/>
          <w:szCs w:val="36"/>
        </w:rPr>
        <w:t xml:space="preserve">IZVJEŠTAJ O IZVRŠENJU FINANCIJSKOG PLANA ZA RAZDOBLJE OD 01.01.2024. DO 31.12.2024. GODINE </w:t>
      </w:r>
    </w:p>
    <w:p w14:paraId="2166A086" w14:textId="77777777" w:rsidR="00422232" w:rsidRDefault="00422232"/>
    <w:p w14:paraId="792907C6" w14:textId="77777777" w:rsidR="00422232" w:rsidRDefault="00422232"/>
    <w:p w14:paraId="361C21A1" w14:textId="77777777" w:rsidR="00422232" w:rsidRDefault="00422232"/>
    <w:p w14:paraId="7042EA23" w14:textId="77777777" w:rsidR="00422232" w:rsidRDefault="00422232"/>
    <w:p w14:paraId="521D39F3" w14:textId="77777777" w:rsidR="00422232" w:rsidRDefault="00422232"/>
    <w:p w14:paraId="4644F538" w14:textId="77777777" w:rsidR="00422232" w:rsidRDefault="00422232"/>
    <w:p w14:paraId="5E804C4B" w14:textId="77777777" w:rsidR="00422232" w:rsidRDefault="00422232"/>
    <w:p w14:paraId="7AFBC91C" w14:textId="77777777" w:rsidR="00422232" w:rsidRDefault="00422232"/>
    <w:p w14:paraId="285F3EA5" w14:textId="77777777" w:rsidR="00422232" w:rsidRDefault="00422232"/>
    <w:p w14:paraId="68F30300" w14:textId="77777777" w:rsidR="00422232" w:rsidRDefault="00422232"/>
    <w:p w14:paraId="4DC706A5" w14:textId="77777777" w:rsidR="00422232" w:rsidRDefault="00422232"/>
    <w:p w14:paraId="6756B424" w14:textId="77777777" w:rsidR="00422232" w:rsidRDefault="00422232"/>
    <w:p w14:paraId="0449BEDF" w14:textId="77777777" w:rsidR="00422232" w:rsidRDefault="00422232"/>
    <w:p w14:paraId="1C2C12CF" w14:textId="77777777" w:rsidR="00422232" w:rsidRDefault="00422232"/>
    <w:p w14:paraId="61DA3F9A" w14:textId="77777777" w:rsidR="00422232" w:rsidRDefault="00422232"/>
    <w:p w14:paraId="0CC6DDD3" w14:textId="77777777" w:rsidR="00422232" w:rsidRDefault="00422232"/>
    <w:p w14:paraId="4438AA30" w14:textId="77777777" w:rsidR="00422232" w:rsidRDefault="00422232"/>
    <w:p w14:paraId="4CE5D8AA" w14:textId="77777777" w:rsidR="00422232" w:rsidRDefault="00422232"/>
    <w:p w14:paraId="28B5DACF" w14:textId="77777777" w:rsidR="00422232" w:rsidRDefault="00422232"/>
    <w:p w14:paraId="63980400" w14:textId="77777777" w:rsidR="00422232" w:rsidRDefault="00422232"/>
    <w:p w14:paraId="59DE54CE" w14:textId="77777777" w:rsidR="00422232" w:rsidRDefault="00422232"/>
    <w:p w14:paraId="416856C0" w14:textId="77777777" w:rsidR="00422232" w:rsidRDefault="00422232"/>
    <w:p w14:paraId="5AD4DD83" w14:textId="77777777" w:rsidR="00422232" w:rsidRDefault="00422232"/>
    <w:p w14:paraId="3342DBA8" w14:textId="77777777" w:rsidR="00422232" w:rsidRDefault="00422232"/>
    <w:p w14:paraId="26F1998B" w14:textId="77777777" w:rsidR="00422232" w:rsidRDefault="00422232"/>
    <w:p w14:paraId="1D9C3759" w14:textId="77777777" w:rsidR="00422232" w:rsidRDefault="00422232"/>
    <w:p w14:paraId="0D04209C" w14:textId="77777777" w:rsidR="00E41F7C" w:rsidRPr="00E41F7C" w:rsidRDefault="00E41F7C" w:rsidP="00E41F7C">
      <w:pPr>
        <w:autoSpaceDE w:val="0"/>
        <w:autoSpaceDN w:val="0"/>
        <w:adjustRightInd w:val="0"/>
        <w:rPr>
          <w:rFonts w:eastAsia="Calibri"/>
          <w:bCs/>
          <w:i/>
          <w:iCs/>
          <w:color w:val="000000"/>
          <w:sz w:val="28"/>
          <w:szCs w:val="28"/>
        </w:rPr>
      </w:pPr>
      <w:r w:rsidRPr="00E41F7C">
        <w:rPr>
          <w:rFonts w:eastAsia="Calibri"/>
          <w:bCs/>
          <w:i/>
          <w:iCs/>
          <w:color w:val="000000"/>
          <w:sz w:val="28"/>
          <w:szCs w:val="28"/>
        </w:rPr>
        <w:t>OBRAZLOŽENJE OPĆEG DIJELA IZVRŠENJA</w:t>
      </w:r>
    </w:p>
    <w:p w14:paraId="7263BAE3" w14:textId="77777777" w:rsidR="00E41F7C" w:rsidRPr="00E41F7C" w:rsidRDefault="00E41F7C" w:rsidP="00E41F7C">
      <w:pPr>
        <w:autoSpaceDE w:val="0"/>
        <w:autoSpaceDN w:val="0"/>
        <w:adjustRightInd w:val="0"/>
        <w:rPr>
          <w:rFonts w:eastAsia="Calibri"/>
          <w:b/>
          <w:color w:val="000000"/>
          <w:sz w:val="28"/>
          <w:szCs w:val="28"/>
        </w:rPr>
      </w:pPr>
    </w:p>
    <w:p w14:paraId="77059BD6" w14:textId="77777777" w:rsidR="00E41F7C" w:rsidRPr="00E41F7C" w:rsidRDefault="00E41F7C" w:rsidP="00E41F7C">
      <w:pPr>
        <w:autoSpaceDE w:val="0"/>
        <w:autoSpaceDN w:val="0"/>
        <w:adjustRightInd w:val="0"/>
        <w:rPr>
          <w:rFonts w:eastAsia="Calibri"/>
          <w:b/>
          <w:color w:val="000000"/>
          <w:sz w:val="28"/>
          <w:szCs w:val="28"/>
        </w:rPr>
      </w:pPr>
      <w:r w:rsidRPr="00E41F7C">
        <w:rPr>
          <w:rFonts w:eastAsia="Calibri"/>
          <w:b/>
          <w:color w:val="000000"/>
          <w:sz w:val="28"/>
          <w:szCs w:val="28"/>
        </w:rPr>
        <w:t>PRIHODI I PRIMICI</w:t>
      </w:r>
    </w:p>
    <w:p w14:paraId="2D3846DF" w14:textId="77777777" w:rsidR="00E41F7C" w:rsidRPr="00E41F7C" w:rsidRDefault="00E41F7C" w:rsidP="00E41F7C">
      <w:pPr>
        <w:autoSpaceDE w:val="0"/>
        <w:autoSpaceDN w:val="0"/>
        <w:adjustRightInd w:val="0"/>
        <w:rPr>
          <w:rFonts w:eastAsia="Calibri"/>
          <w:b/>
          <w:color w:val="000000"/>
          <w:sz w:val="28"/>
          <w:szCs w:val="28"/>
        </w:rPr>
      </w:pPr>
    </w:p>
    <w:p w14:paraId="1D8442CE" w14:textId="77777777" w:rsidR="00E41F7C" w:rsidRPr="00E41F7C" w:rsidRDefault="00E41F7C" w:rsidP="00E41F7C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r w:rsidRPr="00E41F7C">
        <w:rPr>
          <w:rFonts w:eastAsia="Calibri"/>
          <w:bCs/>
          <w:color w:val="000000"/>
        </w:rPr>
        <w:t xml:space="preserve">Ukupno planirani prihodi poslovanja za 2024. godinu iznosili su </w:t>
      </w:r>
      <w:r>
        <w:rPr>
          <w:rFonts w:eastAsia="Calibri"/>
          <w:bCs/>
          <w:color w:val="000000"/>
        </w:rPr>
        <w:t>775.400,00</w:t>
      </w:r>
      <w:r w:rsidRPr="00E41F7C">
        <w:rPr>
          <w:rFonts w:eastAsia="Calibri"/>
          <w:bCs/>
          <w:color w:val="000000"/>
        </w:rPr>
        <w:t xml:space="preserve"> EUR, a izvršeni su u iznosu od </w:t>
      </w:r>
      <w:r>
        <w:rPr>
          <w:rFonts w:eastAsia="Calibri"/>
          <w:bCs/>
          <w:color w:val="000000"/>
        </w:rPr>
        <w:t>795.142,84</w:t>
      </w:r>
      <w:r w:rsidRPr="00E41F7C">
        <w:rPr>
          <w:rFonts w:eastAsia="Calibri"/>
          <w:bCs/>
          <w:color w:val="000000"/>
        </w:rPr>
        <w:t xml:space="preserve"> EUR.</w:t>
      </w:r>
    </w:p>
    <w:p w14:paraId="760393A7" w14:textId="77777777" w:rsidR="00E41F7C" w:rsidRPr="00E41F7C" w:rsidRDefault="00E41F7C" w:rsidP="00E41F7C">
      <w:pPr>
        <w:autoSpaceDE w:val="0"/>
        <w:autoSpaceDN w:val="0"/>
        <w:adjustRightInd w:val="0"/>
        <w:rPr>
          <w:rFonts w:eastAsia="Calibri"/>
          <w:b/>
          <w:color w:val="000000"/>
          <w:sz w:val="28"/>
          <w:szCs w:val="28"/>
        </w:rPr>
      </w:pPr>
    </w:p>
    <w:tbl>
      <w:tblPr>
        <w:tblW w:w="6264" w:type="dxa"/>
        <w:tblInd w:w="1407" w:type="dxa"/>
        <w:tblLook w:val="04A0" w:firstRow="1" w:lastRow="0" w:firstColumn="1" w:lastColumn="0" w:noHBand="0" w:noVBand="1"/>
      </w:tblPr>
      <w:tblGrid>
        <w:gridCol w:w="940"/>
        <w:gridCol w:w="2662"/>
        <w:gridCol w:w="2662"/>
      </w:tblGrid>
      <w:tr w:rsidR="00E41F7C" w:rsidRPr="00E41F7C" w14:paraId="2240952D" w14:textId="77777777" w:rsidTr="00F41B5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5E11" w14:textId="77777777" w:rsidR="00E41F7C" w:rsidRPr="00E41F7C" w:rsidRDefault="00E41F7C" w:rsidP="00E41F7C">
            <w:pPr>
              <w:jc w:val="center"/>
              <w:rPr>
                <w:color w:val="000000"/>
              </w:rPr>
            </w:pPr>
            <w:r w:rsidRPr="00E41F7C">
              <w:rPr>
                <w:color w:val="000000"/>
              </w:rPr>
              <w:t>Izvor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50F9" w14:textId="77777777" w:rsidR="00E41F7C" w:rsidRPr="00E41F7C" w:rsidRDefault="00E41F7C" w:rsidP="00E41F7C">
            <w:pPr>
              <w:jc w:val="center"/>
              <w:rPr>
                <w:color w:val="000000"/>
              </w:rPr>
            </w:pPr>
            <w:r w:rsidRPr="00E41F7C">
              <w:rPr>
                <w:color w:val="000000"/>
              </w:rPr>
              <w:t>Plan 2024.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2D0A" w14:textId="77777777" w:rsidR="00E41F7C" w:rsidRPr="00E41F7C" w:rsidRDefault="00E41F7C" w:rsidP="00E41F7C">
            <w:pPr>
              <w:jc w:val="center"/>
              <w:rPr>
                <w:color w:val="000000"/>
              </w:rPr>
            </w:pPr>
            <w:r w:rsidRPr="00E41F7C">
              <w:rPr>
                <w:color w:val="000000"/>
              </w:rPr>
              <w:t>Izvršenje 2024.</w:t>
            </w:r>
          </w:p>
        </w:tc>
      </w:tr>
      <w:tr w:rsidR="00E41F7C" w:rsidRPr="00E41F7C" w14:paraId="62EBC134" w14:textId="77777777" w:rsidTr="00F41B5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B033" w14:textId="77777777" w:rsidR="00E41F7C" w:rsidRPr="00E41F7C" w:rsidRDefault="00E41F7C" w:rsidP="00E41F7C">
            <w:pPr>
              <w:jc w:val="center"/>
              <w:rPr>
                <w:color w:val="000000"/>
              </w:rPr>
            </w:pPr>
            <w:r w:rsidRPr="00E41F7C">
              <w:rPr>
                <w:color w:val="000000"/>
              </w:rPr>
              <w:t>11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47A2" w14:textId="77777777" w:rsidR="00E41F7C" w:rsidRPr="00E41F7C" w:rsidRDefault="00E41F7C" w:rsidP="00E41F7C">
            <w:pPr>
              <w:jc w:val="center"/>
              <w:rPr>
                <w:color w:val="000000"/>
              </w:rPr>
            </w:pPr>
            <w:r w:rsidRPr="00E41F7C">
              <w:rPr>
                <w:color w:val="000000"/>
              </w:rPr>
              <w:t xml:space="preserve">                             </w:t>
            </w:r>
            <w:r>
              <w:rPr>
                <w:color w:val="000000"/>
              </w:rPr>
              <w:t>667.000</w:t>
            </w:r>
            <w:r w:rsidRPr="00E41F7C">
              <w:rPr>
                <w:color w:val="000000"/>
              </w:rPr>
              <w:t xml:space="preserve">,00 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C0AE" w14:textId="77777777" w:rsidR="00E41F7C" w:rsidRPr="00E41F7C" w:rsidRDefault="00E41F7C" w:rsidP="009C1F30">
            <w:pPr>
              <w:jc w:val="center"/>
              <w:rPr>
                <w:color w:val="000000"/>
              </w:rPr>
            </w:pPr>
            <w:r w:rsidRPr="00E41F7C">
              <w:rPr>
                <w:color w:val="000000"/>
              </w:rPr>
              <w:t xml:space="preserve">                             </w:t>
            </w:r>
            <w:r w:rsidR="009C1F30">
              <w:rPr>
                <w:color w:val="000000"/>
              </w:rPr>
              <w:t>628.550,73</w:t>
            </w:r>
            <w:r w:rsidRPr="00E41F7C">
              <w:rPr>
                <w:color w:val="000000"/>
              </w:rPr>
              <w:t xml:space="preserve"> </w:t>
            </w:r>
          </w:p>
        </w:tc>
      </w:tr>
      <w:tr w:rsidR="00E41F7C" w:rsidRPr="00E41F7C" w14:paraId="0C7F1F93" w14:textId="77777777" w:rsidTr="00F41B5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DA9C" w14:textId="77777777" w:rsidR="00E41F7C" w:rsidRPr="00E41F7C" w:rsidRDefault="00E41F7C" w:rsidP="00E41F7C">
            <w:pPr>
              <w:jc w:val="center"/>
              <w:rPr>
                <w:color w:val="000000"/>
              </w:rPr>
            </w:pPr>
            <w:r w:rsidRPr="00E41F7C">
              <w:rPr>
                <w:color w:val="000000"/>
              </w:rPr>
              <w:t>31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49AB" w14:textId="77777777" w:rsidR="00E41F7C" w:rsidRPr="00E41F7C" w:rsidRDefault="00E41F7C" w:rsidP="00E41F7C">
            <w:pPr>
              <w:jc w:val="center"/>
              <w:rPr>
                <w:color w:val="000000"/>
              </w:rPr>
            </w:pPr>
            <w:r w:rsidRPr="00E41F7C">
              <w:rPr>
                <w:color w:val="000000"/>
              </w:rPr>
              <w:t xml:space="preserve">                                </w:t>
            </w:r>
            <w:r>
              <w:rPr>
                <w:color w:val="000000"/>
              </w:rPr>
              <w:t>73.000,00</w:t>
            </w:r>
            <w:r w:rsidRPr="00E41F7C">
              <w:rPr>
                <w:color w:val="000000"/>
              </w:rPr>
              <w:t xml:space="preserve"> 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0B67" w14:textId="77777777" w:rsidR="00E41F7C" w:rsidRPr="00E41F7C" w:rsidRDefault="00E41F7C" w:rsidP="00E41F7C">
            <w:pPr>
              <w:jc w:val="center"/>
              <w:rPr>
                <w:color w:val="000000"/>
              </w:rPr>
            </w:pPr>
            <w:r w:rsidRPr="00E41F7C">
              <w:rPr>
                <w:color w:val="000000"/>
              </w:rPr>
              <w:t xml:space="preserve">                                </w:t>
            </w:r>
            <w:r>
              <w:rPr>
                <w:color w:val="000000"/>
              </w:rPr>
              <w:t>103.302,11</w:t>
            </w:r>
            <w:r w:rsidRPr="00E41F7C">
              <w:rPr>
                <w:color w:val="000000"/>
              </w:rPr>
              <w:t xml:space="preserve"> </w:t>
            </w:r>
          </w:p>
        </w:tc>
      </w:tr>
      <w:tr w:rsidR="00243F7A" w:rsidRPr="00E41F7C" w14:paraId="54680937" w14:textId="77777777" w:rsidTr="00F41B5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03E0" w14:textId="77777777" w:rsidR="00243F7A" w:rsidRPr="00E41F7C" w:rsidRDefault="00243F7A" w:rsidP="00E41F7C">
            <w:pPr>
              <w:jc w:val="center"/>
              <w:rPr>
                <w:color w:val="000000"/>
              </w:rPr>
            </w:pPr>
            <w:r w:rsidRPr="00E41F7C">
              <w:rPr>
                <w:color w:val="000000"/>
              </w:rPr>
              <w:t>52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6810" w14:textId="77777777" w:rsidR="00243F7A" w:rsidRPr="00E41F7C" w:rsidRDefault="00243F7A" w:rsidP="00E41F7C">
            <w:pPr>
              <w:jc w:val="center"/>
              <w:rPr>
                <w:color w:val="000000"/>
              </w:rPr>
            </w:pPr>
            <w:r w:rsidRPr="00E41F7C">
              <w:rPr>
                <w:color w:val="000000"/>
              </w:rPr>
              <w:t xml:space="preserve">                                   </w:t>
            </w:r>
            <w:r>
              <w:rPr>
                <w:color w:val="000000"/>
              </w:rPr>
              <w:t>35.400,00</w:t>
            </w:r>
            <w:r w:rsidRPr="00E41F7C">
              <w:rPr>
                <w:color w:val="000000"/>
              </w:rPr>
              <w:t xml:space="preserve"> 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16CA" w14:textId="77777777" w:rsidR="00243F7A" w:rsidRPr="00E41F7C" w:rsidRDefault="00243F7A" w:rsidP="00E41F7C">
            <w:pPr>
              <w:jc w:val="center"/>
              <w:rPr>
                <w:color w:val="000000"/>
              </w:rPr>
            </w:pPr>
            <w:r w:rsidRPr="00E41F7C">
              <w:rPr>
                <w:color w:val="000000"/>
              </w:rPr>
              <w:t xml:space="preserve">                                   </w:t>
            </w:r>
            <w:r>
              <w:rPr>
                <w:color w:val="000000"/>
              </w:rPr>
              <w:t xml:space="preserve">   63.290,00</w:t>
            </w:r>
            <w:r w:rsidRPr="00E41F7C">
              <w:rPr>
                <w:color w:val="000000"/>
              </w:rPr>
              <w:t xml:space="preserve"> </w:t>
            </w:r>
          </w:p>
        </w:tc>
      </w:tr>
    </w:tbl>
    <w:p w14:paraId="363667E9" w14:textId="77777777" w:rsidR="00E41F7C" w:rsidRDefault="00E41F7C" w:rsidP="00E41F7C">
      <w:pPr>
        <w:autoSpaceDE w:val="0"/>
        <w:autoSpaceDN w:val="0"/>
        <w:adjustRightInd w:val="0"/>
        <w:rPr>
          <w:rFonts w:eastAsia="Calibri"/>
          <w:bCs/>
          <w:color w:val="000000"/>
          <w:sz w:val="20"/>
          <w:szCs w:val="20"/>
        </w:rPr>
      </w:pPr>
    </w:p>
    <w:p w14:paraId="1EF579B7" w14:textId="33B0A876" w:rsidR="00E41F7C" w:rsidRPr="00E41F7C" w:rsidRDefault="00E41F7C" w:rsidP="00E41F7C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E41F7C">
        <w:rPr>
          <w:color w:val="000000"/>
          <w:sz w:val="23"/>
          <w:szCs w:val="23"/>
        </w:rPr>
        <w:t xml:space="preserve">Najvažnija skupina prihoda po visini planiranih i izvršenih iznosa su prihodi iz općeg izvora financiranja odnosno proračuna Grada Zagreba za financiranje rashoda za zaposlene i materijalnih troškova te sredstava programskih ugovora i čini više od </w:t>
      </w:r>
      <w:r w:rsidR="00243F7A">
        <w:rPr>
          <w:color w:val="000000"/>
          <w:sz w:val="23"/>
          <w:szCs w:val="23"/>
        </w:rPr>
        <w:t>79,0</w:t>
      </w:r>
      <w:r w:rsidR="00C72001">
        <w:rPr>
          <w:color w:val="000000"/>
          <w:sz w:val="23"/>
          <w:szCs w:val="23"/>
        </w:rPr>
        <w:t>5</w:t>
      </w:r>
      <w:r w:rsidRPr="00E41F7C">
        <w:rPr>
          <w:color w:val="000000"/>
          <w:sz w:val="23"/>
          <w:szCs w:val="23"/>
        </w:rPr>
        <w:t>% ukupnih prihoda.</w:t>
      </w:r>
    </w:p>
    <w:p w14:paraId="4A4B16C1" w14:textId="77777777" w:rsidR="00E41F7C" w:rsidRPr="00E41F7C" w:rsidRDefault="00E41F7C" w:rsidP="00E41F7C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E41F7C">
        <w:rPr>
          <w:color w:val="000000"/>
          <w:sz w:val="23"/>
          <w:szCs w:val="23"/>
        </w:rPr>
        <w:t xml:space="preserve"> </w:t>
      </w:r>
    </w:p>
    <w:p w14:paraId="3DB4C993" w14:textId="77777777" w:rsidR="00E41F7C" w:rsidRPr="00E41F7C" w:rsidRDefault="00E41F7C" w:rsidP="00E41F7C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E41F7C">
        <w:rPr>
          <w:color w:val="000000"/>
          <w:sz w:val="23"/>
          <w:szCs w:val="23"/>
        </w:rPr>
        <w:t xml:space="preserve">Sljedeća skupina značajnih prihoda su vlastiti prihodi </w:t>
      </w:r>
      <w:r w:rsidR="00243F7A">
        <w:rPr>
          <w:color w:val="000000"/>
          <w:sz w:val="23"/>
          <w:szCs w:val="23"/>
        </w:rPr>
        <w:t>čiji</w:t>
      </w:r>
      <w:r w:rsidRPr="00E41F7C">
        <w:rPr>
          <w:color w:val="000000"/>
          <w:sz w:val="23"/>
          <w:szCs w:val="23"/>
        </w:rPr>
        <w:t xml:space="preserve"> udio</w:t>
      </w:r>
      <w:r w:rsidR="00243F7A">
        <w:rPr>
          <w:color w:val="000000"/>
          <w:sz w:val="23"/>
          <w:szCs w:val="23"/>
        </w:rPr>
        <w:t xml:space="preserve"> iznosi 12,99</w:t>
      </w:r>
      <w:r w:rsidRPr="00E41F7C">
        <w:rPr>
          <w:color w:val="000000"/>
          <w:sz w:val="23"/>
          <w:szCs w:val="23"/>
        </w:rPr>
        <w:t>% u ukupnim prihodima.</w:t>
      </w:r>
    </w:p>
    <w:p w14:paraId="5BA5CF9D" w14:textId="77777777" w:rsidR="00E41F7C" w:rsidRPr="00E41F7C" w:rsidRDefault="00E41F7C" w:rsidP="00E41F7C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E41F7C">
        <w:rPr>
          <w:color w:val="000000"/>
          <w:sz w:val="23"/>
          <w:szCs w:val="23"/>
        </w:rPr>
        <w:t xml:space="preserve"> </w:t>
      </w:r>
    </w:p>
    <w:p w14:paraId="031A9141" w14:textId="407D9966" w:rsidR="00E41F7C" w:rsidRDefault="00E41F7C" w:rsidP="00243F7A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E41F7C">
        <w:rPr>
          <w:color w:val="000000"/>
          <w:sz w:val="23"/>
          <w:szCs w:val="23"/>
        </w:rPr>
        <w:t xml:space="preserve">Na izvoru 52 planirani su prijenosi iz drugih proračuna te se odnose na prihode po ugovorima za </w:t>
      </w:r>
      <w:r w:rsidR="008F7DBC">
        <w:rPr>
          <w:color w:val="000000"/>
          <w:sz w:val="23"/>
          <w:szCs w:val="23"/>
        </w:rPr>
        <w:t>proje</w:t>
      </w:r>
      <w:r w:rsidR="00243F7A">
        <w:rPr>
          <w:color w:val="000000"/>
          <w:sz w:val="23"/>
          <w:szCs w:val="23"/>
        </w:rPr>
        <w:t>kt Spark</w:t>
      </w:r>
      <w:r w:rsidR="00C72001">
        <w:rPr>
          <w:color w:val="000000"/>
          <w:sz w:val="23"/>
          <w:szCs w:val="23"/>
        </w:rPr>
        <w:t>.</w:t>
      </w:r>
    </w:p>
    <w:p w14:paraId="2D432E93" w14:textId="77777777" w:rsidR="00243F7A" w:rsidRDefault="00243F7A" w:rsidP="00243F7A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055E8D95" w14:textId="77777777" w:rsidR="007C1A86" w:rsidRPr="00E41F7C" w:rsidRDefault="007C1A86" w:rsidP="00243F7A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176A3EE2" w14:textId="77777777" w:rsidR="00E41F7C" w:rsidRPr="00E41F7C" w:rsidRDefault="007C1A86" w:rsidP="008F7DBC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>
        <w:rPr>
          <w:noProof/>
        </w:rPr>
        <w:drawing>
          <wp:inline distT="0" distB="0" distL="0" distR="0" wp14:anchorId="53EF39FB" wp14:editId="1B902728">
            <wp:extent cx="4572000" cy="2743200"/>
            <wp:effectExtent l="0" t="0" r="19050" b="1905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F8B5FEC" w14:textId="77777777" w:rsidR="008F7DBC" w:rsidRPr="00C8263B" w:rsidRDefault="008F7DBC" w:rsidP="008F7DBC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C8263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RASHODI I IZDACI </w:t>
      </w:r>
    </w:p>
    <w:p w14:paraId="00EBCC69" w14:textId="77777777" w:rsidR="008F7DBC" w:rsidRPr="00C8263B" w:rsidRDefault="008F7DBC" w:rsidP="008F7DBC">
      <w:pPr>
        <w:pStyle w:val="Default"/>
        <w:rPr>
          <w:rFonts w:ascii="Times New Roman" w:hAnsi="Times New Roman" w:cs="Times New Roman"/>
          <w:bCs/>
          <w:sz w:val="20"/>
          <w:szCs w:val="20"/>
        </w:rPr>
      </w:pPr>
    </w:p>
    <w:p w14:paraId="2FCC0346" w14:textId="77777777" w:rsidR="008F7DBC" w:rsidRDefault="008F7DBC" w:rsidP="008F7DBC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  <w:r w:rsidRPr="00C8263B">
        <w:rPr>
          <w:rFonts w:ascii="Times New Roman" w:hAnsi="Times New Roman" w:cs="Times New Roman"/>
          <w:bCs/>
          <w:sz w:val="23"/>
          <w:szCs w:val="23"/>
        </w:rPr>
        <w:t>Ukupno planirani rashodi poslovanja za 202</w:t>
      </w:r>
      <w:r>
        <w:rPr>
          <w:rFonts w:ascii="Times New Roman" w:hAnsi="Times New Roman" w:cs="Times New Roman"/>
          <w:bCs/>
          <w:sz w:val="23"/>
          <w:szCs w:val="23"/>
        </w:rPr>
        <w:t>4</w:t>
      </w:r>
      <w:r w:rsidRPr="00C8263B">
        <w:rPr>
          <w:rFonts w:ascii="Times New Roman" w:hAnsi="Times New Roman" w:cs="Times New Roman"/>
          <w:bCs/>
          <w:sz w:val="23"/>
          <w:szCs w:val="23"/>
        </w:rPr>
        <w:t xml:space="preserve">. godinu iznosili su </w:t>
      </w:r>
      <w:r>
        <w:rPr>
          <w:rFonts w:ascii="Times New Roman" w:hAnsi="Times New Roman" w:cs="Times New Roman"/>
          <w:bCs/>
          <w:sz w:val="23"/>
          <w:szCs w:val="23"/>
        </w:rPr>
        <w:t xml:space="preserve">775.400,00 </w:t>
      </w:r>
      <w:r w:rsidRPr="00C8263B">
        <w:rPr>
          <w:rFonts w:ascii="Times New Roman" w:hAnsi="Times New Roman" w:cs="Times New Roman"/>
          <w:bCs/>
          <w:sz w:val="23"/>
          <w:szCs w:val="23"/>
        </w:rPr>
        <w:t xml:space="preserve">EUR, a izvršeni su u iznosu od </w:t>
      </w:r>
      <w:r>
        <w:rPr>
          <w:rFonts w:ascii="Times New Roman" w:hAnsi="Times New Roman" w:cs="Times New Roman"/>
          <w:bCs/>
          <w:sz w:val="23"/>
          <w:szCs w:val="23"/>
        </w:rPr>
        <w:t>766.570,25</w:t>
      </w:r>
      <w:r w:rsidRPr="00C8263B">
        <w:rPr>
          <w:rFonts w:ascii="Times New Roman" w:hAnsi="Times New Roman" w:cs="Times New Roman"/>
          <w:bCs/>
          <w:sz w:val="23"/>
          <w:szCs w:val="23"/>
        </w:rPr>
        <w:t xml:space="preserve"> EUR (indeks odstupanja </w:t>
      </w:r>
      <w:r>
        <w:rPr>
          <w:rFonts w:ascii="Times New Roman" w:hAnsi="Times New Roman" w:cs="Times New Roman"/>
          <w:bCs/>
          <w:sz w:val="23"/>
          <w:szCs w:val="23"/>
        </w:rPr>
        <w:t>98,86%</w:t>
      </w:r>
      <w:r w:rsidRPr="00C8263B">
        <w:rPr>
          <w:rFonts w:ascii="Times New Roman" w:hAnsi="Times New Roman" w:cs="Times New Roman"/>
          <w:bCs/>
          <w:sz w:val="23"/>
          <w:szCs w:val="23"/>
        </w:rPr>
        <w:t>).</w:t>
      </w:r>
    </w:p>
    <w:p w14:paraId="40A65458" w14:textId="77777777" w:rsidR="008F7DBC" w:rsidRDefault="008F7DBC" w:rsidP="008F7DBC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47FE8B7C" w14:textId="77777777" w:rsidR="008F7DBC" w:rsidRDefault="008F7DBC" w:rsidP="008F7DBC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tbl>
      <w:tblPr>
        <w:tblW w:w="6264" w:type="dxa"/>
        <w:tblInd w:w="1407" w:type="dxa"/>
        <w:tblLook w:val="04A0" w:firstRow="1" w:lastRow="0" w:firstColumn="1" w:lastColumn="0" w:noHBand="0" w:noVBand="1"/>
      </w:tblPr>
      <w:tblGrid>
        <w:gridCol w:w="940"/>
        <w:gridCol w:w="2662"/>
        <w:gridCol w:w="2662"/>
      </w:tblGrid>
      <w:tr w:rsidR="008F7DBC" w:rsidRPr="00967D48" w14:paraId="0E1A4942" w14:textId="77777777" w:rsidTr="00F41B5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F3E2" w14:textId="77777777" w:rsidR="008F7DBC" w:rsidRPr="00967D48" w:rsidRDefault="008F7DBC" w:rsidP="00F41B5A">
            <w:pPr>
              <w:jc w:val="center"/>
              <w:rPr>
                <w:rFonts w:cs="Calibri"/>
                <w:color w:val="000000"/>
              </w:rPr>
            </w:pPr>
            <w:r w:rsidRPr="00967D48">
              <w:rPr>
                <w:rFonts w:cs="Calibri"/>
                <w:color w:val="000000"/>
              </w:rPr>
              <w:t>Izvor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E4CA" w14:textId="77777777" w:rsidR="008F7DBC" w:rsidRPr="00967D48" w:rsidRDefault="008F7DBC" w:rsidP="00F41B5A">
            <w:pPr>
              <w:jc w:val="center"/>
              <w:rPr>
                <w:rFonts w:cs="Calibri"/>
                <w:color w:val="000000"/>
              </w:rPr>
            </w:pPr>
            <w:r w:rsidRPr="00967D48">
              <w:rPr>
                <w:rFonts w:cs="Calibri"/>
                <w:color w:val="000000"/>
              </w:rPr>
              <w:t>Plan 2024.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025B" w14:textId="77777777" w:rsidR="008F7DBC" w:rsidRPr="00967D48" w:rsidRDefault="008F7DBC" w:rsidP="00F41B5A">
            <w:pPr>
              <w:jc w:val="center"/>
              <w:rPr>
                <w:rFonts w:cs="Calibri"/>
                <w:color w:val="000000"/>
              </w:rPr>
            </w:pPr>
            <w:r w:rsidRPr="00967D48">
              <w:rPr>
                <w:rFonts w:cs="Calibri"/>
                <w:color w:val="000000"/>
              </w:rPr>
              <w:t>Izvršenje 2024.</w:t>
            </w:r>
          </w:p>
        </w:tc>
      </w:tr>
      <w:tr w:rsidR="008F7DBC" w:rsidRPr="00967D48" w14:paraId="677FC7E0" w14:textId="77777777" w:rsidTr="00F41B5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278B" w14:textId="77777777" w:rsidR="008F7DBC" w:rsidRPr="00967D48" w:rsidRDefault="008F7DBC" w:rsidP="00F41B5A">
            <w:pPr>
              <w:jc w:val="center"/>
              <w:rPr>
                <w:rFonts w:cs="Calibri"/>
                <w:color w:val="000000"/>
              </w:rPr>
            </w:pPr>
            <w:r w:rsidRPr="00967D48">
              <w:rPr>
                <w:rFonts w:cs="Calibri"/>
                <w:color w:val="000000"/>
              </w:rPr>
              <w:t>11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CCAC" w14:textId="77777777" w:rsidR="008F7DBC" w:rsidRPr="00967D48" w:rsidRDefault="008F7DBC" w:rsidP="008F7DBC">
            <w:pPr>
              <w:jc w:val="center"/>
              <w:rPr>
                <w:rFonts w:cs="Calibri"/>
                <w:color w:val="000000"/>
              </w:rPr>
            </w:pPr>
            <w:r w:rsidRPr="00967D48">
              <w:rPr>
                <w:rFonts w:cs="Calibri"/>
                <w:color w:val="000000"/>
              </w:rPr>
              <w:t xml:space="preserve">                             </w:t>
            </w:r>
            <w:r>
              <w:rPr>
                <w:rFonts w:cs="Calibri"/>
                <w:color w:val="000000"/>
              </w:rPr>
              <w:t>667.000,00</w:t>
            </w:r>
            <w:r w:rsidRPr="00967D48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BFC5" w14:textId="77777777" w:rsidR="008F7DBC" w:rsidRPr="00967D48" w:rsidRDefault="008F7DBC" w:rsidP="008F7DBC">
            <w:pPr>
              <w:jc w:val="center"/>
              <w:rPr>
                <w:rFonts w:cs="Calibri"/>
                <w:color w:val="000000"/>
              </w:rPr>
            </w:pPr>
            <w:r w:rsidRPr="00967D48">
              <w:rPr>
                <w:rFonts w:cs="Calibri"/>
                <w:color w:val="000000"/>
              </w:rPr>
              <w:t xml:space="preserve">                             </w:t>
            </w:r>
            <w:r>
              <w:rPr>
                <w:rFonts w:cs="Calibri"/>
                <w:color w:val="000000"/>
              </w:rPr>
              <w:t>656.973,98</w:t>
            </w:r>
            <w:r w:rsidRPr="00967D48">
              <w:rPr>
                <w:rFonts w:cs="Calibri"/>
                <w:color w:val="000000"/>
              </w:rPr>
              <w:t xml:space="preserve"> </w:t>
            </w:r>
          </w:p>
        </w:tc>
      </w:tr>
      <w:tr w:rsidR="008F7DBC" w:rsidRPr="00967D48" w14:paraId="2BB7479E" w14:textId="77777777" w:rsidTr="00F41B5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B804" w14:textId="77777777" w:rsidR="008F7DBC" w:rsidRPr="00967D48" w:rsidRDefault="008F7DBC" w:rsidP="00F41B5A">
            <w:pPr>
              <w:jc w:val="center"/>
              <w:rPr>
                <w:rFonts w:cs="Calibri"/>
                <w:color w:val="000000"/>
              </w:rPr>
            </w:pPr>
            <w:r w:rsidRPr="00967D48">
              <w:rPr>
                <w:rFonts w:cs="Calibri"/>
                <w:color w:val="000000"/>
              </w:rPr>
              <w:t>31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2A8C" w14:textId="77777777" w:rsidR="008F7DBC" w:rsidRPr="00967D48" w:rsidRDefault="008F7DBC" w:rsidP="008F7DBC">
            <w:pPr>
              <w:jc w:val="center"/>
              <w:rPr>
                <w:rFonts w:cs="Calibri"/>
                <w:color w:val="000000"/>
              </w:rPr>
            </w:pPr>
            <w:r w:rsidRPr="00967D48">
              <w:rPr>
                <w:rFonts w:cs="Calibri"/>
                <w:color w:val="000000"/>
              </w:rPr>
              <w:t xml:space="preserve">                                </w:t>
            </w:r>
            <w:r>
              <w:rPr>
                <w:rFonts w:cs="Calibri"/>
                <w:color w:val="000000"/>
              </w:rPr>
              <w:t>73.000,00</w:t>
            </w:r>
            <w:r w:rsidRPr="00967D48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266F" w14:textId="77777777" w:rsidR="008F7DBC" w:rsidRPr="00967D48" w:rsidRDefault="008F7DBC" w:rsidP="008F7DBC">
            <w:pPr>
              <w:jc w:val="center"/>
              <w:rPr>
                <w:rFonts w:cs="Calibri"/>
                <w:color w:val="000000"/>
              </w:rPr>
            </w:pPr>
            <w:r w:rsidRPr="00967D48">
              <w:rPr>
                <w:rFonts w:cs="Calibri"/>
                <w:color w:val="000000"/>
              </w:rPr>
              <w:t xml:space="preserve">                                     </w:t>
            </w:r>
            <w:r>
              <w:rPr>
                <w:rFonts w:cs="Calibri"/>
                <w:color w:val="000000"/>
              </w:rPr>
              <w:t xml:space="preserve">   98.053,68</w:t>
            </w:r>
            <w:r w:rsidRPr="00967D48">
              <w:rPr>
                <w:rFonts w:cs="Calibri"/>
                <w:color w:val="000000"/>
              </w:rPr>
              <w:t xml:space="preserve"> </w:t>
            </w:r>
          </w:p>
        </w:tc>
      </w:tr>
      <w:tr w:rsidR="008F7DBC" w:rsidRPr="00967D48" w14:paraId="78B22696" w14:textId="77777777" w:rsidTr="00F41B5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4354" w14:textId="77777777" w:rsidR="008F7DBC" w:rsidRPr="00967D48" w:rsidRDefault="008F7DBC" w:rsidP="00F41B5A">
            <w:pPr>
              <w:jc w:val="center"/>
              <w:rPr>
                <w:rFonts w:cs="Calibri"/>
                <w:color w:val="000000"/>
              </w:rPr>
            </w:pPr>
            <w:r w:rsidRPr="00967D48">
              <w:rPr>
                <w:rFonts w:cs="Calibri"/>
                <w:color w:val="000000"/>
              </w:rPr>
              <w:t>52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B991" w14:textId="77777777" w:rsidR="008F7DBC" w:rsidRPr="00967D48" w:rsidRDefault="008F7DBC" w:rsidP="008F7DBC">
            <w:pPr>
              <w:jc w:val="center"/>
              <w:rPr>
                <w:rFonts w:cs="Calibri"/>
                <w:color w:val="000000"/>
              </w:rPr>
            </w:pPr>
            <w:r w:rsidRPr="00967D48">
              <w:rPr>
                <w:rFonts w:cs="Calibri"/>
                <w:color w:val="000000"/>
              </w:rPr>
              <w:t xml:space="preserve">                                   </w:t>
            </w:r>
            <w:r>
              <w:rPr>
                <w:rFonts w:cs="Calibri"/>
                <w:color w:val="000000"/>
              </w:rPr>
              <w:t>35.400,00</w:t>
            </w:r>
            <w:r w:rsidRPr="00967D48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D788" w14:textId="77777777" w:rsidR="008F7DBC" w:rsidRPr="00967D48" w:rsidRDefault="008F7DBC" w:rsidP="008F7DBC">
            <w:pPr>
              <w:jc w:val="center"/>
              <w:rPr>
                <w:rFonts w:cs="Calibri"/>
                <w:color w:val="000000"/>
              </w:rPr>
            </w:pPr>
            <w:r w:rsidRPr="00967D48">
              <w:rPr>
                <w:rFonts w:cs="Calibri"/>
                <w:color w:val="000000"/>
              </w:rPr>
              <w:t xml:space="preserve">                                   </w:t>
            </w:r>
            <w:r>
              <w:rPr>
                <w:rFonts w:cs="Calibri"/>
                <w:color w:val="000000"/>
              </w:rPr>
              <w:t>11.542,59</w:t>
            </w:r>
            <w:r w:rsidRPr="00967D48">
              <w:rPr>
                <w:rFonts w:cs="Calibri"/>
                <w:color w:val="000000"/>
              </w:rPr>
              <w:t xml:space="preserve"> </w:t>
            </w:r>
          </w:p>
        </w:tc>
      </w:tr>
    </w:tbl>
    <w:p w14:paraId="657F52CF" w14:textId="77777777" w:rsidR="008F7DBC" w:rsidRDefault="008F7DBC" w:rsidP="008F7DBC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5D65A19C" w14:textId="77777777" w:rsidR="008F7DBC" w:rsidRDefault="008F7DBC" w:rsidP="008F7DBC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  <w:r w:rsidRPr="00C8263B">
        <w:rPr>
          <w:rFonts w:ascii="Times New Roman" w:hAnsi="Times New Roman" w:cs="Times New Roman"/>
          <w:bCs/>
          <w:sz w:val="23"/>
          <w:szCs w:val="23"/>
        </w:rPr>
        <w:t xml:space="preserve">Najveće je odstupanje zabilježeno </w:t>
      </w:r>
      <w:r w:rsidR="00DE6EB1">
        <w:rPr>
          <w:rFonts w:ascii="Times New Roman" w:hAnsi="Times New Roman" w:cs="Times New Roman"/>
          <w:bCs/>
          <w:sz w:val="23"/>
          <w:szCs w:val="23"/>
        </w:rPr>
        <w:t>temeljem posebnog programa –Pilot projekt SPARK koji je planiran od strane Grada u iznosu od 16.700,00 eura te iz drugog proračuna u iznosu od 33.400,00 eura. Budući da su uplate za projekt zaprimljene koncem 2024. godine, projekt je djelomično realiziran u 2024. godini  te se prenosi u 2025. godinu.</w:t>
      </w:r>
    </w:p>
    <w:p w14:paraId="1EF5D63C" w14:textId="77777777" w:rsidR="008F7DBC" w:rsidRPr="00C8263B" w:rsidRDefault="008F7DBC" w:rsidP="008F7DBC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5828793D" w14:textId="77777777" w:rsidR="008F7DBC" w:rsidRDefault="007C1A86" w:rsidP="007C1A86">
      <w:pPr>
        <w:pStyle w:val="Default"/>
        <w:jc w:val="center"/>
        <w:rPr>
          <w:rFonts w:ascii="Times New Roman" w:hAnsi="Times New Roman" w:cs="Times New Roman"/>
          <w:bCs/>
          <w:sz w:val="23"/>
          <w:szCs w:val="23"/>
        </w:rPr>
      </w:pPr>
      <w:r>
        <w:rPr>
          <w:noProof/>
        </w:rPr>
        <w:drawing>
          <wp:inline distT="0" distB="0" distL="0" distR="0" wp14:anchorId="043ADC43" wp14:editId="6120A8B1">
            <wp:extent cx="4572000" cy="2743200"/>
            <wp:effectExtent l="38100" t="0" r="19050" b="19050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3BFF0E7" w14:textId="77777777" w:rsidR="000D6E8B" w:rsidRDefault="000D6E8B" w:rsidP="008F7DBC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15899C4C" w14:textId="77777777" w:rsidR="008F7DBC" w:rsidRDefault="008F7DBC" w:rsidP="008F7DBC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C46339">
        <w:rPr>
          <w:rFonts w:ascii="Times New Roman" w:hAnsi="Times New Roman" w:cs="Times New Roman"/>
          <w:b/>
          <w:sz w:val="28"/>
          <w:szCs w:val="28"/>
        </w:rPr>
        <w:t>PRIJENOS SREDSTAVA IZ PRETHODNE I U SLJEDEĆU GODINU</w:t>
      </w:r>
    </w:p>
    <w:p w14:paraId="6B6C34EC" w14:textId="77777777" w:rsidR="008F7DBC" w:rsidRDefault="008F7DBC" w:rsidP="008F7DBC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  <w:r w:rsidRPr="00C46339">
        <w:rPr>
          <w:rFonts w:ascii="Times New Roman" w:hAnsi="Times New Roman" w:cs="Times New Roman"/>
          <w:bCs/>
          <w:sz w:val="23"/>
          <w:szCs w:val="23"/>
        </w:rPr>
        <w:t xml:space="preserve">Ukupni </w:t>
      </w:r>
      <w:r w:rsidR="007C1A86">
        <w:rPr>
          <w:rFonts w:ascii="Times New Roman" w:hAnsi="Times New Roman" w:cs="Times New Roman"/>
          <w:bCs/>
          <w:sz w:val="23"/>
          <w:szCs w:val="23"/>
        </w:rPr>
        <w:t xml:space="preserve">višak </w:t>
      </w:r>
      <w:r w:rsidRPr="00C46339">
        <w:rPr>
          <w:rFonts w:ascii="Times New Roman" w:hAnsi="Times New Roman" w:cs="Times New Roman"/>
          <w:bCs/>
          <w:sz w:val="23"/>
          <w:szCs w:val="23"/>
        </w:rPr>
        <w:t xml:space="preserve"> sredstava u 202</w:t>
      </w:r>
      <w:r>
        <w:rPr>
          <w:rFonts w:ascii="Times New Roman" w:hAnsi="Times New Roman" w:cs="Times New Roman"/>
          <w:bCs/>
          <w:sz w:val="23"/>
          <w:szCs w:val="23"/>
        </w:rPr>
        <w:t>5</w:t>
      </w:r>
      <w:r w:rsidRPr="00C46339">
        <w:rPr>
          <w:rFonts w:ascii="Times New Roman" w:hAnsi="Times New Roman" w:cs="Times New Roman"/>
          <w:bCs/>
          <w:sz w:val="23"/>
          <w:szCs w:val="23"/>
        </w:rPr>
        <w:t xml:space="preserve">. godinu iznosi </w:t>
      </w:r>
      <w:r w:rsidR="007C1A86">
        <w:rPr>
          <w:rFonts w:ascii="Times New Roman" w:hAnsi="Times New Roman" w:cs="Times New Roman"/>
          <w:bCs/>
          <w:sz w:val="23"/>
          <w:szCs w:val="23"/>
        </w:rPr>
        <w:t>60.536,13</w:t>
      </w:r>
      <w:r w:rsidRPr="00C46339">
        <w:rPr>
          <w:rFonts w:ascii="Times New Roman" w:hAnsi="Times New Roman" w:cs="Times New Roman"/>
          <w:bCs/>
          <w:sz w:val="23"/>
          <w:szCs w:val="23"/>
        </w:rPr>
        <w:t xml:space="preserve"> EUR.</w:t>
      </w:r>
    </w:p>
    <w:p w14:paraId="3137235E" w14:textId="77777777" w:rsidR="008F7DBC" w:rsidRDefault="008F7DBC" w:rsidP="008F7DBC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2B549AB3" w14:textId="77777777" w:rsidR="008F7DBC" w:rsidRPr="00C46339" w:rsidRDefault="008F7DBC" w:rsidP="008F7DBC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Višak sredstva utrošit će se za pokrivanje troškova </w:t>
      </w:r>
      <w:r w:rsidR="007C1A86">
        <w:rPr>
          <w:rFonts w:ascii="Times New Roman" w:hAnsi="Times New Roman" w:cs="Times New Roman"/>
          <w:bCs/>
          <w:sz w:val="23"/>
          <w:szCs w:val="23"/>
        </w:rPr>
        <w:t>redovite djelatnosti Centra</w:t>
      </w:r>
      <w:r>
        <w:rPr>
          <w:rFonts w:ascii="Times New Roman" w:hAnsi="Times New Roman" w:cs="Times New Roman"/>
          <w:bCs/>
          <w:sz w:val="23"/>
          <w:szCs w:val="23"/>
        </w:rPr>
        <w:t xml:space="preserve"> te ostale troškove redovnog poslovanja.</w:t>
      </w:r>
    </w:p>
    <w:p w14:paraId="67BF9ECA" w14:textId="77777777" w:rsidR="008F7DBC" w:rsidRDefault="008F7DBC" w:rsidP="008F7DBC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3D3B9C73" w14:textId="77777777" w:rsidR="008F7DBC" w:rsidRPr="00C46339" w:rsidRDefault="008F7DBC" w:rsidP="008F7DBC">
      <w:pPr>
        <w:pStyle w:val="Default"/>
        <w:rPr>
          <w:rFonts w:ascii="Times New Roman" w:hAnsi="Times New Roman"/>
          <w:b/>
          <w:bCs/>
          <w:sz w:val="28"/>
          <w:szCs w:val="28"/>
        </w:rPr>
      </w:pPr>
      <w:r w:rsidRPr="00C46339">
        <w:rPr>
          <w:rFonts w:ascii="Times New Roman" w:hAnsi="Times New Roman"/>
          <w:b/>
          <w:bCs/>
          <w:sz w:val="28"/>
          <w:szCs w:val="28"/>
        </w:rPr>
        <w:t xml:space="preserve">PODACI O STANJU NOVČANIH SREDSTAVA </w:t>
      </w:r>
    </w:p>
    <w:p w14:paraId="66B675BB" w14:textId="77777777" w:rsidR="008F7DBC" w:rsidRDefault="008F7DBC" w:rsidP="008F7DBC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  <w:r w:rsidRPr="00C46339">
        <w:rPr>
          <w:rFonts w:ascii="Times New Roman" w:hAnsi="Times New Roman" w:cs="Times New Roman"/>
          <w:bCs/>
          <w:sz w:val="23"/>
          <w:szCs w:val="23"/>
        </w:rPr>
        <w:t>Na dan 01.01.202</w:t>
      </w:r>
      <w:r>
        <w:rPr>
          <w:rFonts w:ascii="Times New Roman" w:hAnsi="Times New Roman" w:cs="Times New Roman"/>
          <w:bCs/>
          <w:sz w:val="23"/>
          <w:szCs w:val="23"/>
        </w:rPr>
        <w:t>4</w:t>
      </w:r>
      <w:r w:rsidRPr="00C46339">
        <w:rPr>
          <w:rFonts w:ascii="Times New Roman" w:hAnsi="Times New Roman" w:cs="Times New Roman"/>
          <w:bCs/>
          <w:sz w:val="23"/>
          <w:szCs w:val="23"/>
        </w:rPr>
        <w:t xml:space="preserve">. godine stanje novčanih sredstava iznosilo je </w:t>
      </w:r>
      <w:r w:rsidR="007C1A86">
        <w:rPr>
          <w:rFonts w:ascii="Times New Roman" w:hAnsi="Times New Roman" w:cs="Times New Roman"/>
          <w:bCs/>
          <w:sz w:val="23"/>
          <w:szCs w:val="23"/>
        </w:rPr>
        <w:t>73.098,63</w:t>
      </w:r>
      <w:r w:rsidRPr="00C46339">
        <w:rPr>
          <w:rFonts w:ascii="Times New Roman" w:hAnsi="Times New Roman" w:cs="Times New Roman"/>
          <w:bCs/>
          <w:sz w:val="23"/>
          <w:szCs w:val="23"/>
        </w:rPr>
        <w:t xml:space="preserve"> EUR, a na 31.12.202</w:t>
      </w:r>
      <w:r>
        <w:rPr>
          <w:rFonts w:ascii="Times New Roman" w:hAnsi="Times New Roman" w:cs="Times New Roman"/>
          <w:bCs/>
          <w:sz w:val="23"/>
          <w:szCs w:val="23"/>
        </w:rPr>
        <w:t>4</w:t>
      </w:r>
      <w:r w:rsidRPr="00C46339">
        <w:rPr>
          <w:rFonts w:ascii="Times New Roman" w:hAnsi="Times New Roman" w:cs="Times New Roman"/>
          <w:bCs/>
          <w:sz w:val="23"/>
          <w:szCs w:val="23"/>
        </w:rPr>
        <w:t xml:space="preserve">. godine </w:t>
      </w:r>
      <w:r w:rsidR="007C1A86">
        <w:rPr>
          <w:rFonts w:ascii="Times New Roman" w:hAnsi="Times New Roman" w:cs="Times New Roman"/>
          <w:bCs/>
          <w:sz w:val="23"/>
          <w:szCs w:val="23"/>
        </w:rPr>
        <w:t>124.260,13</w:t>
      </w:r>
      <w:r w:rsidRPr="00C46339">
        <w:rPr>
          <w:rFonts w:ascii="Times New Roman" w:hAnsi="Times New Roman" w:cs="Times New Roman"/>
          <w:bCs/>
          <w:sz w:val="23"/>
          <w:szCs w:val="23"/>
        </w:rPr>
        <w:t xml:space="preserve"> EUR.</w:t>
      </w:r>
    </w:p>
    <w:p w14:paraId="00CF7C93" w14:textId="77777777" w:rsidR="008F7DBC" w:rsidRDefault="008F7DBC" w:rsidP="008F7DBC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32EACD9F" w14:textId="77777777" w:rsidR="00A7078F" w:rsidRDefault="00A7078F" w:rsidP="00A7078F">
      <w:pPr>
        <w:pStyle w:val="Defaul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9284F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OBRAZLOŽENJE POSEBNOG DIJELA IZVRŠENJA</w:t>
      </w:r>
    </w:p>
    <w:p w14:paraId="74DF2BC5" w14:textId="77777777" w:rsidR="00A7078F" w:rsidRDefault="00A7078F" w:rsidP="00A7078F">
      <w:pPr>
        <w:pStyle w:val="Default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309F1632" w14:textId="77777777" w:rsidR="00A7078F" w:rsidRPr="000B618F" w:rsidRDefault="00A7078F" w:rsidP="00A7078F">
      <w:pPr>
        <w:pStyle w:val="Default"/>
        <w:rPr>
          <w:rFonts w:ascii="Times New Roman" w:hAnsi="Times New Roman" w:cs="Times New Roman"/>
          <w:b/>
          <w:bCs/>
        </w:rPr>
      </w:pPr>
      <w:r w:rsidRPr="000B618F">
        <w:rPr>
          <w:rFonts w:ascii="Times New Roman" w:hAnsi="Times New Roman" w:cs="Times New Roman"/>
          <w:b/>
          <w:bCs/>
        </w:rPr>
        <w:t>Sažetak djelokruga rada proračunskog korisnika</w:t>
      </w:r>
    </w:p>
    <w:p w14:paraId="62235481" w14:textId="77777777" w:rsidR="001C78EC" w:rsidRPr="000B618F" w:rsidRDefault="001C78EC" w:rsidP="001C78EC">
      <w:pPr>
        <w:pStyle w:val="Default"/>
        <w:rPr>
          <w:rFonts w:ascii="Times New Roman" w:hAnsi="Times New Roman" w:cs="Times New Roman"/>
          <w:b/>
          <w:bCs/>
        </w:rPr>
      </w:pPr>
    </w:p>
    <w:p w14:paraId="006DB8A0" w14:textId="77777777" w:rsidR="001C78EC" w:rsidRPr="000B618F" w:rsidRDefault="001C78EC" w:rsidP="001C78EC">
      <w:pPr>
        <w:pStyle w:val="Default"/>
        <w:rPr>
          <w:rFonts w:ascii="Times New Roman" w:hAnsi="Times New Roman" w:cs="Times New Roman"/>
        </w:rPr>
      </w:pPr>
      <w:r w:rsidRPr="000B618F">
        <w:rPr>
          <w:rFonts w:ascii="Times New Roman" w:hAnsi="Times New Roman" w:cs="Times New Roman"/>
          <w:bCs/>
        </w:rPr>
        <w:t xml:space="preserve">Proračunski korisnik: </w:t>
      </w:r>
      <w:r w:rsidRPr="000B618F">
        <w:rPr>
          <w:rFonts w:ascii="Times New Roman" w:hAnsi="Times New Roman" w:cs="Times New Roman"/>
        </w:rPr>
        <w:t xml:space="preserve">Centar mladih Ribnjak </w:t>
      </w:r>
    </w:p>
    <w:p w14:paraId="0C508AD9" w14:textId="77777777" w:rsidR="001C78EC" w:rsidRPr="000B618F" w:rsidRDefault="001C78EC" w:rsidP="001C78EC">
      <w:pPr>
        <w:pStyle w:val="Default"/>
        <w:rPr>
          <w:rFonts w:ascii="Times New Roman" w:hAnsi="Times New Roman" w:cs="Times New Roman"/>
          <w:bCs/>
        </w:rPr>
      </w:pPr>
      <w:r w:rsidRPr="000B618F">
        <w:rPr>
          <w:rFonts w:ascii="Times New Roman" w:hAnsi="Times New Roman" w:cs="Times New Roman"/>
          <w:bCs/>
        </w:rPr>
        <w:t xml:space="preserve">Osnivači: GRAD ZAGREB </w:t>
      </w:r>
    </w:p>
    <w:p w14:paraId="08EB6D92" w14:textId="77777777" w:rsidR="001C78EC" w:rsidRPr="000B618F" w:rsidRDefault="001C78EC" w:rsidP="001C78EC">
      <w:pPr>
        <w:pStyle w:val="Default"/>
        <w:rPr>
          <w:rFonts w:ascii="Times New Roman" w:hAnsi="Times New Roman" w:cs="Times New Roman"/>
          <w:bCs/>
        </w:rPr>
      </w:pPr>
      <w:r w:rsidRPr="000B618F">
        <w:rPr>
          <w:rFonts w:ascii="Times New Roman" w:hAnsi="Times New Roman" w:cs="Times New Roman"/>
          <w:bCs/>
        </w:rPr>
        <w:t xml:space="preserve">Razdjel: 24 - Grad Zagreb Gradski ured za kulturu </w:t>
      </w:r>
    </w:p>
    <w:p w14:paraId="4AD724A3" w14:textId="77777777" w:rsidR="001C78EC" w:rsidRPr="000B618F" w:rsidRDefault="001C78EC" w:rsidP="001C78EC">
      <w:pPr>
        <w:pStyle w:val="Default"/>
        <w:rPr>
          <w:rFonts w:ascii="Times New Roman" w:hAnsi="Times New Roman" w:cs="Times New Roman"/>
          <w:bCs/>
        </w:rPr>
      </w:pPr>
      <w:r w:rsidRPr="000B618F">
        <w:rPr>
          <w:rFonts w:ascii="Times New Roman" w:hAnsi="Times New Roman" w:cs="Times New Roman"/>
          <w:bCs/>
        </w:rPr>
        <w:t xml:space="preserve">Glava: 2402 DJELATNOST KULTURE </w:t>
      </w:r>
    </w:p>
    <w:p w14:paraId="3AA551F3" w14:textId="77777777" w:rsidR="001C78EC" w:rsidRPr="000B618F" w:rsidRDefault="001C78EC" w:rsidP="001C78EC">
      <w:pPr>
        <w:pStyle w:val="Default"/>
        <w:rPr>
          <w:rFonts w:ascii="Times New Roman" w:hAnsi="Times New Roman" w:cs="Times New Roman"/>
          <w:bCs/>
        </w:rPr>
      </w:pPr>
      <w:r w:rsidRPr="000B618F">
        <w:rPr>
          <w:rFonts w:ascii="Times New Roman" w:hAnsi="Times New Roman" w:cs="Times New Roman"/>
          <w:bCs/>
        </w:rPr>
        <w:t xml:space="preserve">RKP: 24859 </w:t>
      </w:r>
    </w:p>
    <w:p w14:paraId="7345B96E" w14:textId="77777777" w:rsidR="001C78EC" w:rsidRPr="000B618F" w:rsidRDefault="001C78EC" w:rsidP="001C78EC">
      <w:pPr>
        <w:pStyle w:val="Default"/>
        <w:rPr>
          <w:rFonts w:ascii="Times New Roman" w:hAnsi="Times New Roman" w:cs="Times New Roman"/>
          <w:bCs/>
        </w:rPr>
      </w:pPr>
      <w:r w:rsidRPr="000B618F">
        <w:rPr>
          <w:rFonts w:ascii="Times New Roman" w:hAnsi="Times New Roman" w:cs="Times New Roman"/>
          <w:bCs/>
        </w:rPr>
        <w:t xml:space="preserve">Pošta i mjesto: 10000 ZAGREB </w:t>
      </w:r>
    </w:p>
    <w:p w14:paraId="54E7AF37" w14:textId="77777777" w:rsidR="001C78EC" w:rsidRPr="000B618F" w:rsidRDefault="001C78EC" w:rsidP="001C78EC">
      <w:pPr>
        <w:pStyle w:val="Default"/>
        <w:rPr>
          <w:rFonts w:ascii="Times New Roman" w:hAnsi="Times New Roman" w:cs="Times New Roman"/>
          <w:bCs/>
        </w:rPr>
      </w:pPr>
      <w:r w:rsidRPr="000B618F">
        <w:rPr>
          <w:rFonts w:ascii="Times New Roman" w:hAnsi="Times New Roman" w:cs="Times New Roman"/>
          <w:bCs/>
        </w:rPr>
        <w:t xml:space="preserve">Adresa sjedišta: </w:t>
      </w:r>
      <w:r w:rsidRPr="000B618F">
        <w:rPr>
          <w:rFonts w:ascii="Times New Roman" w:hAnsi="Times New Roman" w:cs="Times New Roman"/>
        </w:rPr>
        <w:t>Park Ribnjak 1</w:t>
      </w:r>
    </w:p>
    <w:p w14:paraId="5739AD5E" w14:textId="77777777" w:rsidR="001C78EC" w:rsidRPr="000B618F" w:rsidRDefault="001C78EC" w:rsidP="001C78EC">
      <w:pPr>
        <w:pStyle w:val="Default"/>
        <w:rPr>
          <w:rFonts w:ascii="Times New Roman" w:hAnsi="Times New Roman" w:cs="Times New Roman"/>
          <w:bCs/>
        </w:rPr>
      </w:pPr>
      <w:r w:rsidRPr="000B618F">
        <w:rPr>
          <w:rFonts w:ascii="Times New Roman" w:hAnsi="Times New Roman" w:cs="Times New Roman"/>
          <w:bCs/>
        </w:rPr>
        <w:t>Oznaka razine: 21</w:t>
      </w:r>
    </w:p>
    <w:p w14:paraId="5ABCC790" w14:textId="77777777" w:rsidR="001C78EC" w:rsidRPr="000B618F" w:rsidRDefault="001C78EC" w:rsidP="001C78EC">
      <w:pPr>
        <w:pStyle w:val="Default"/>
        <w:rPr>
          <w:rFonts w:ascii="Times New Roman" w:hAnsi="Times New Roman" w:cs="Times New Roman"/>
        </w:rPr>
      </w:pPr>
      <w:r w:rsidRPr="000B618F">
        <w:rPr>
          <w:rFonts w:ascii="Times New Roman" w:hAnsi="Times New Roman" w:cs="Times New Roman"/>
        </w:rPr>
        <w:t>OIB: 45058007791</w:t>
      </w:r>
    </w:p>
    <w:p w14:paraId="1740C60B" w14:textId="77777777" w:rsidR="001C78EC" w:rsidRPr="000B618F" w:rsidRDefault="001C78EC" w:rsidP="001C78EC">
      <w:pPr>
        <w:pStyle w:val="Default"/>
        <w:rPr>
          <w:rFonts w:ascii="Times New Roman" w:hAnsi="Times New Roman" w:cs="Times New Roman"/>
        </w:rPr>
      </w:pPr>
    </w:p>
    <w:p w14:paraId="2AFA4899" w14:textId="77777777" w:rsidR="001C78EC" w:rsidRPr="000B618F" w:rsidRDefault="001C78EC" w:rsidP="001C78EC">
      <w:pPr>
        <w:pStyle w:val="Default"/>
        <w:rPr>
          <w:rFonts w:ascii="Times New Roman" w:hAnsi="Times New Roman" w:cs="Times New Roman"/>
        </w:rPr>
      </w:pPr>
      <w:r w:rsidRPr="000B618F">
        <w:rPr>
          <w:rFonts w:ascii="Times New Roman" w:hAnsi="Times New Roman" w:cs="Times New Roman"/>
        </w:rPr>
        <w:t xml:space="preserve">Djelatnost: Ustanova obavlja: </w:t>
      </w:r>
    </w:p>
    <w:p w14:paraId="5EBFDCB0" w14:textId="77777777" w:rsidR="001C78EC" w:rsidRPr="000B618F" w:rsidRDefault="001C78EC" w:rsidP="004C43AF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0B618F">
        <w:rPr>
          <w:rFonts w:ascii="Times New Roman" w:hAnsi="Times New Roman" w:cs="Times New Roman"/>
        </w:rPr>
        <w:t xml:space="preserve">organiziranje kazališnih, glazbenih, filmskih, estradnih i drugih kulturno-umjetničkih priredbi </w:t>
      </w:r>
    </w:p>
    <w:p w14:paraId="0182343E" w14:textId="77777777" w:rsidR="001C78EC" w:rsidRPr="000B618F" w:rsidRDefault="001C78EC" w:rsidP="004C43AF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0B618F">
        <w:rPr>
          <w:rFonts w:ascii="Times New Roman" w:hAnsi="Times New Roman" w:cs="Times New Roman"/>
        </w:rPr>
        <w:t xml:space="preserve"> izvođenje programa ( sa sadržajem iz područja djelatnosti kulture i obrazovanja) za sve dobne skupine </w:t>
      </w:r>
    </w:p>
    <w:p w14:paraId="7B1ADC00" w14:textId="77777777" w:rsidR="001C78EC" w:rsidRPr="000B618F" w:rsidRDefault="001C78EC" w:rsidP="004C43AF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0B618F">
        <w:rPr>
          <w:rFonts w:ascii="Times New Roman" w:hAnsi="Times New Roman" w:cs="Times New Roman"/>
        </w:rPr>
        <w:t xml:space="preserve"> organiziranje izvanškolskih aktivnosti za djecu i mlade (iz područja obrazovanja i djelatnosti kulture:književnosti, kazališne, glazbene, plesne i likovne djelatnosti); </w:t>
      </w:r>
    </w:p>
    <w:p w14:paraId="5076F605" w14:textId="77777777" w:rsidR="001C78EC" w:rsidRPr="000B618F" w:rsidRDefault="001C78EC" w:rsidP="004C43AF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0B618F">
        <w:rPr>
          <w:rFonts w:ascii="Times New Roman" w:hAnsi="Times New Roman" w:cs="Times New Roman"/>
        </w:rPr>
        <w:t xml:space="preserve"> organiziranja zabavnih programa za djecu , mlade i odrasle; </w:t>
      </w:r>
    </w:p>
    <w:p w14:paraId="7EC8F328" w14:textId="77777777" w:rsidR="001C78EC" w:rsidRPr="000B618F" w:rsidRDefault="001C78EC" w:rsidP="004C43AF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0B618F">
        <w:rPr>
          <w:rFonts w:ascii="Times New Roman" w:hAnsi="Times New Roman" w:cs="Times New Roman"/>
        </w:rPr>
        <w:t xml:space="preserve"> organiziranje poduke iz ritmike i plesa; </w:t>
      </w:r>
    </w:p>
    <w:p w14:paraId="7E254176" w14:textId="77777777" w:rsidR="001C78EC" w:rsidRPr="000B618F" w:rsidRDefault="002E1CDB" w:rsidP="004C43AF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organiziranje poduke stran</w:t>
      </w:r>
      <w:r w:rsidR="001C78EC" w:rsidRPr="000B618F">
        <w:rPr>
          <w:rFonts w:ascii="Times New Roman" w:hAnsi="Times New Roman" w:cs="Times New Roman"/>
        </w:rPr>
        <w:t xml:space="preserve">ih jezika </w:t>
      </w:r>
    </w:p>
    <w:p w14:paraId="764D367D" w14:textId="77777777" w:rsidR="001C78EC" w:rsidRPr="000B618F" w:rsidRDefault="001C78EC" w:rsidP="004C43AF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0B618F">
        <w:rPr>
          <w:rFonts w:ascii="Times New Roman" w:hAnsi="Times New Roman" w:cs="Times New Roman"/>
        </w:rPr>
        <w:t xml:space="preserve"> knjižničko-čitalačku djelatnost </w:t>
      </w:r>
    </w:p>
    <w:p w14:paraId="0B304589" w14:textId="77777777" w:rsidR="001C78EC" w:rsidRPr="000B618F" w:rsidRDefault="001C78EC" w:rsidP="004C43AF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0B618F">
        <w:rPr>
          <w:rFonts w:ascii="Times New Roman" w:hAnsi="Times New Roman" w:cs="Times New Roman"/>
        </w:rPr>
        <w:t xml:space="preserve"> javno prikazivanje audiovizualnih djela </w:t>
      </w:r>
    </w:p>
    <w:p w14:paraId="55E85071" w14:textId="77777777" w:rsidR="001C78EC" w:rsidRPr="000B618F" w:rsidRDefault="001C78EC" w:rsidP="004C43AF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0B618F">
        <w:rPr>
          <w:rFonts w:ascii="Times New Roman" w:hAnsi="Times New Roman" w:cs="Times New Roman"/>
        </w:rPr>
        <w:t xml:space="preserve"> galerijsku djelatnost </w:t>
      </w:r>
    </w:p>
    <w:p w14:paraId="4C62D751" w14:textId="77777777" w:rsidR="001C78EC" w:rsidRPr="000B618F" w:rsidRDefault="001C78EC" w:rsidP="004C43AF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0B618F">
        <w:rPr>
          <w:rFonts w:ascii="Times New Roman" w:hAnsi="Times New Roman" w:cs="Times New Roman"/>
        </w:rPr>
        <w:t xml:space="preserve"> nakladničku djelatnost</w:t>
      </w:r>
    </w:p>
    <w:p w14:paraId="06EB1738" w14:textId="77777777" w:rsidR="001C78EC" w:rsidRPr="000B618F" w:rsidRDefault="001C78EC" w:rsidP="001C78EC">
      <w:pPr>
        <w:pStyle w:val="Default"/>
        <w:rPr>
          <w:rFonts w:ascii="Times New Roman" w:hAnsi="Times New Roman" w:cs="Times New Roman"/>
          <w:bCs/>
        </w:rPr>
      </w:pPr>
    </w:p>
    <w:p w14:paraId="03E67C31" w14:textId="77777777" w:rsidR="004C43AF" w:rsidRPr="000B618F" w:rsidRDefault="004C43AF" w:rsidP="004C43AF">
      <w:pPr>
        <w:rPr>
          <w:b/>
          <w:bCs/>
          <w:color w:val="000000"/>
        </w:rPr>
      </w:pPr>
      <w:r w:rsidRPr="000B618F">
        <w:rPr>
          <w:b/>
          <w:bCs/>
          <w:color w:val="000000"/>
        </w:rPr>
        <w:t>Zakonske i druge podloge za provedbu programa</w:t>
      </w:r>
    </w:p>
    <w:p w14:paraId="3C3703CC" w14:textId="77777777" w:rsidR="004C43AF" w:rsidRPr="000B618F" w:rsidRDefault="004C43AF" w:rsidP="004C43AF">
      <w:pPr>
        <w:rPr>
          <w:b/>
          <w:bCs/>
          <w:color w:val="000000"/>
        </w:rPr>
      </w:pPr>
    </w:p>
    <w:p w14:paraId="25997217" w14:textId="77777777" w:rsidR="004C43AF" w:rsidRPr="000B618F" w:rsidRDefault="00D452F8" w:rsidP="004C43AF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Zakon o </w:t>
      </w:r>
      <w:r w:rsidR="004C43AF" w:rsidRPr="000B618F">
        <w:rPr>
          <w:rFonts w:ascii="Times New Roman" w:hAnsi="Times New Roman" w:cs="Times New Roman"/>
          <w:bCs/>
        </w:rPr>
        <w:t>u</w:t>
      </w:r>
      <w:r>
        <w:rPr>
          <w:rFonts w:ascii="Times New Roman" w:hAnsi="Times New Roman" w:cs="Times New Roman"/>
          <w:bCs/>
        </w:rPr>
        <w:t>s</w:t>
      </w:r>
      <w:r w:rsidR="004C43AF" w:rsidRPr="000B618F">
        <w:rPr>
          <w:rFonts w:ascii="Times New Roman" w:hAnsi="Times New Roman" w:cs="Times New Roman"/>
          <w:bCs/>
        </w:rPr>
        <w:t>tanovama (NN 76/93, 29/97, 47/99, 35/08 i 127/19)</w:t>
      </w:r>
    </w:p>
    <w:p w14:paraId="0ABAB30D" w14:textId="77777777" w:rsidR="004C43AF" w:rsidRPr="000B618F" w:rsidRDefault="004C43AF" w:rsidP="004C43AF">
      <w:pPr>
        <w:pStyle w:val="Default"/>
        <w:rPr>
          <w:rFonts w:ascii="Times New Roman" w:hAnsi="Times New Roman" w:cs="Times New Roman"/>
          <w:bCs/>
        </w:rPr>
      </w:pPr>
      <w:r w:rsidRPr="000B618F">
        <w:rPr>
          <w:rFonts w:ascii="Times New Roman" w:hAnsi="Times New Roman" w:cs="Times New Roman"/>
        </w:rPr>
        <w:t>Zakon o proračunu</w:t>
      </w:r>
      <w:r w:rsidRPr="000B618F">
        <w:rPr>
          <w:rFonts w:ascii="Times New Roman" w:hAnsi="Times New Roman" w:cs="Times New Roman"/>
          <w:b/>
          <w:bCs/>
        </w:rPr>
        <w:t xml:space="preserve"> </w:t>
      </w:r>
      <w:r w:rsidRPr="000B618F">
        <w:rPr>
          <w:rFonts w:ascii="Times New Roman" w:hAnsi="Times New Roman" w:cs="Times New Roman"/>
          <w:bCs/>
        </w:rPr>
        <w:t>(NN, br. 87/08, 136/12, 15/15,144/21)</w:t>
      </w:r>
    </w:p>
    <w:p w14:paraId="3773B345" w14:textId="691D2396" w:rsidR="004C43AF" w:rsidRPr="000B618F" w:rsidRDefault="004C43AF" w:rsidP="004C43AF">
      <w:pPr>
        <w:pStyle w:val="Default"/>
        <w:rPr>
          <w:rFonts w:ascii="Times New Roman" w:hAnsi="Times New Roman" w:cs="Times New Roman"/>
          <w:bCs/>
        </w:rPr>
      </w:pPr>
      <w:r w:rsidRPr="000B618F">
        <w:rPr>
          <w:rFonts w:ascii="Times New Roman" w:hAnsi="Times New Roman" w:cs="Times New Roman"/>
          <w:bCs/>
        </w:rPr>
        <w:t>Pravilnik o proračunskom računovo</w:t>
      </w:r>
      <w:r w:rsidR="00B50623">
        <w:rPr>
          <w:rFonts w:ascii="Times New Roman" w:hAnsi="Times New Roman" w:cs="Times New Roman"/>
          <w:bCs/>
        </w:rPr>
        <w:t>ds</w:t>
      </w:r>
      <w:r w:rsidRPr="000B618F">
        <w:rPr>
          <w:rFonts w:ascii="Times New Roman" w:hAnsi="Times New Roman" w:cs="Times New Roman"/>
          <w:bCs/>
        </w:rPr>
        <w:t>tvu i računskom planu (</w:t>
      </w:r>
      <w:r w:rsidR="000B618F">
        <w:rPr>
          <w:rFonts w:ascii="Times New Roman" w:hAnsi="Times New Roman" w:cs="Times New Roman"/>
          <w:bCs/>
        </w:rPr>
        <w:t>NN 158/2023)</w:t>
      </w:r>
    </w:p>
    <w:p w14:paraId="6CB124B9" w14:textId="77777777" w:rsidR="004C43AF" w:rsidRPr="000B618F" w:rsidRDefault="004C43AF" w:rsidP="004C43AF">
      <w:pPr>
        <w:pStyle w:val="Default"/>
        <w:rPr>
          <w:rFonts w:ascii="Times New Roman" w:hAnsi="Times New Roman" w:cs="Times New Roman"/>
          <w:bCs/>
        </w:rPr>
      </w:pPr>
      <w:r w:rsidRPr="000B618F">
        <w:rPr>
          <w:rFonts w:ascii="Times New Roman" w:hAnsi="Times New Roman" w:cs="Times New Roman"/>
          <w:bCs/>
        </w:rPr>
        <w:t>Pravilnik o polugodišnjem i godišnjem izvještavanju o izvršenju proračuna i financijskog plana (NN 85/23)</w:t>
      </w:r>
    </w:p>
    <w:p w14:paraId="62DAB20F" w14:textId="77777777" w:rsidR="00A7078F" w:rsidRPr="000B618F" w:rsidRDefault="00A7078F" w:rsidP="00A7078F">
      <w:pPr>
        <w:autoSpaceDE w:val="0"/>
        <w:autoSpaceDN w:val="0"/>
        <w:adjustRightInd w:val="0"/>
        <w:rPr>
          <w:rFonts w:eastAsia="Calibri"/>
          <w:b/>
          <w:color w:val="000000"/>
        </w:rPr>
      </w:pPr>
    </w:p>
    <w:p w14:paraId="7AEDD62B" w14:textId="77777777" w:rsidR="004C43AF" w:rsidRPr="000B618F" w:rsidRDefault="004C43AF" w:rsidP="00A7078F">
      <w:pPr>
        <w:autoSpaceDE w:val="0"/>
        <w:autoSpaceDN w:val="0"/>
        <w:adjustRightInd w:val="0"/>
        <w:rPr>
          <w:rFonts w:eastAsia="Calibri"/>
          <w:b/>
          <w:color w:val="000000"/>
        </w:rPr>
      </w:pPr>
    </w:p>
    <w:p w14:paraId="113E1EF8" w14:textId="77777777" w:rsidR="004C43AF" w:rsidRPr="000B618F" w:rsidRDefault="004C43AF" w:rsidP="00A7078F">
      <w:pPr>
        <w:autoSpaceDE w:val="0"/>
        <w:autoSpaceDN w:val="0"/>
        <w:adjustRightInd w:val="0"/>
        <w:rPr>
          <w:rFonts w:eastAsia="Calibri"/>
          <w:b/>
          <w:color w:val="000000"/>
        </w:rPr>
      </w:pPr>
    </w:p>
    <w:p w14:paraId="1736C093" w14:textId="77777777" w:rsidR="004C43AF" w:rsidRPr="000B618F" w:rsidRDefault="004C43AF" w:rsidP="00A7078F">
      <w:pPr>
        <w:autoSpaceDE w:val="0"/>
        <w:autoSpaceDN w:val="0"/>
        <w:adjustRightInd w:val="0"/>
        <w:rPr>
          <w:rFonts w:eastAsia="Calibri"/>
          <w:b/>
          <w:color w:val="000000"/>
        </w:rPr>
      </w:pPr>
    </w:p>
    <w:p w14:paraId="2A868EE3" w14:textId="77777777" w:rsidR="004C43AF" w:rsidRPr="000B618F" w:rsidRDefault="004C43AF" w:rsidP="00A7078F">
      <w:pPr>
        <w:autoSpaceDE w:val="0"/>
        <w:autoSpaceDN w:val="0"/>
        <w:adjustRightInd w:val="0"/>
        <w:rPr>
          <w:rFonts w:eastAsia="Calibri"/>
          <w:b/>
          <w:color w:val="000000"/>
        </w:rPr>
      </w:pPr>
    </w:p>
    <w:p w14:paraId="072458E2" w14:textId="77777777" w:rsidR="004C43AF" w:rsidRPr="000B618F" w:rsidRDefault="004C43AF" w:rsidP="00A7078F">
      <w:pPr>
        <w:autoSpaceDE w:val="0"/>
        <w:autoSpaceDN w:val="0"/>
        <w:adjustRightInd w:val="0"/>
        <w:rPr>
          <w:rFonts w:eastAsia="Calibri"/>
          <w:b/>
          <w:color w:val="000000"/>
        </w:rPr>
      </w:pPr>
    </w:p>
    <w:p w14:paraId="18729558" w14:textId="77777777" w:rsidR="004C43AF" w:rsidRPr="000B618F" w:rsidRDefault="004C43AF" w:rsidP="00A7078F">
      <w:pPr>
        <w:autoSpaceDE w:val="0"/>
        <w:autoSpaceDN w:val="0"/>
        <w:adjustRightInd w:val="0"/>
        <w:rPr>
          <w:rFonts w:eastAsia="Calibri"/>
          <w:b/>
          <w:color w:val="000000"/>
        </w:rPr>
      </w:pPr>
    </w:p>
    <w:p w14:paraId="7ED81021" w14:textId="77777777" w:rsidR="00A7078F" w:rsidRPr="000B618F" w:rsidRDefault="00A7078F" w:rsidP="00A7078F">
      <w:pPr>
        <w:autoSpaceDE w:val="0"/>
        <w:autoSpaceDN w:val="0"/>
        <w:adjustRightInd w:val="0"/>
        <w:rPr>
          <w:rFonts w:eastAsia="Calibri"/>
          <w:b/>
          <w:color w:val="000000"/>
        </w:rPr>
      </w:pPr>
    </w:p>
    <w:p w14:paraId="41EFC6E9" w14:textId="77777777" w:rsidR="00A7078F" w:rsidRPr="000B618F" w:rsidRDefault="00A7078F" w:rsidP="00A7078F">
      <w:pPr>
        <w:autoSpaceDE w:val="0"/>
        <w:autoSpaceDN w:val="0"/>
        <w:adjustRightInd w:val="0"/>
        <w:rPr>
          <w:rFonts w:eastAsia="Calibri"/>
          <w:b/>
          <w:color w:val="000000"/>
        </w:rPr>
      </w:pPr>
    </w:p>
    <w:p w14:paraId="26AEBB7A" w14:textId="77777777" w:rsidR="00A7078F" w:rsidRPr="000B618F" w:rsidRDefault="00A7078F" w:rsidP="00A7078F">
      <w:pPr>
        <w:autoSpaceDE w:val="0"/>
        <w:autoSpaceDN w:val="0"/>
        <w:adjustRightInd w:val="0"/>
        <w:rPr>
          <w:rFonts w:eastAsia="Calibri"/>
          <w:b/>
          <w:color w:val="000000"/>
        </w:rPr>
      </w:pPr>
    </w:p>
    <w:p w14:paraId="34619E93" w14:textId="77777777" w:rsidR="000B618F" w:rsidRPr="00A7078F" w:rsidRDefault="000B618F" w:rsidP="000B618F">
      <w:pPr>
        <w:autoSpaceDE w:val="0"/>
        <w:autoSpaceDN w:val="0"/>
        <w:adjustRightInd w:val="0"/>
        <w:rPr>
          <w:rFonts w:eastAsia="Calibri"/>
          <w:b/>
          <w:color w:val="000000"/>
          <w:sz w:val="28"/>
          <w:szCs w:val="28"/>
        </w:rPr>
      </w:pPr>
      <w:r w:rsidRPr="00A7078F">
        <w:rPr>
          <w:rFonts w:eastAsia="Calibri"/>
          <w:b/>
          <w:color w:val="000000"/>
          <w:sz w:val="28"/>
          <w:szCs w:val="28"/>
        </w:rPr>
        <w:lastRenderedPageBreak/>
        <w:t>Opis aktivnosti projekata</w:t>
      </w:r>
    </w:p>
    <w:p w14:paraId="200D48E4" w14:textId="77777777" w:rsidR="000B618F" w:rsidRDefault="000B618F" w:rsidP="000B618F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38B2245A" w14:textId="77777777" w:rsidR="000B618F" w:rsidRDefault="000B618F" w:rsidP="000B618F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Aktivnost A212401 Redovna djelatnost proračunskih korisnika</w:t>
      </w:r>
    </w:p>
    <w:p w14:paraId="25295C26" w14:textId="77777777" w:rsidR="000B618F" w:rsidRDefault="000B618F" w:rsidP="000B618F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3EC0F446" w14:textId="2E7F2632" w:rsidR="000B618F" w:rsidRDefault="000B618F" w:rsidP="000B618F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  <w:r w:rsidRPr="005A18EC">
        <w:rPr>
          <w:rFonts w:ascii="Times New Roman" w:hAnsi="Times New Roman" w:cs="Times New Roman"/>
          <w:bCs/>
          <w:sz w:val="23"/>
          <w:szCs w:val="23"/>
        </w:rPr>
        <w:t>Sukladno iskazanim limitima za izradu plana rashoda izvor 11 Opći prihodi i primici odnosi se na sredstva za plaće, prijevoz, sistematske preglede i</w:t>
      </w:r>
      <w:r w:rsidR="00D0368B">
        <w:rPr>
          <w:rFonts w:ascii="Times New Roman" w:hAnsi="Times New Roman" w:cs="Times New Roman"/>
          <w:bCs/>
          <w:sz w:val="23"/>
          <w:szCs w:val="23"/>
        </w:rPr>
        <w:t xml:space="preserve"> materijalna prava zaposlenika s</w:t>
      </w:r>
      <w:r w:rsidRPr="005A18EC">
        <w:rPr>
          <w:rFonts w:ascii="Times New Roman" w:hAnsi="Times New Roman" w:cs="Times New Roman"/>
          <w:bCs/>
          <w:sz w:val="23"/>
          <w:szCs w:val="23"/>
        </w:rPr>
        <w:t>ukladn</w:t>
      </w:r>
      <w:r>
        <w:rPr>
          <w:rFonts w:ascii="Times New Roman" w:hAnsi="Times New Roman" w:cs="Times New Roman"/>
          <w:bCs/>
          <w:sz w:val="23"/>
          <w:szCs w:val="23"/>
        </w:rPr>
        <w:t xml:space="preserve">o Proračunu Grada Zagreba. Izvori 31 Vlastiti prihodi </w:t>
      </w:r>
      <w:r w:rsidR="00D0368B">
        <w:rPr>
          <w:rFonts w:ascii="Times New Roman" w:hAnsi="Times New Roman" w:cs="Times New Roman"/>
          <w:bCs/>
          <w:sz w:val="23"/>
          <w:szCs w:val="23"/>
        </w:rPr>
        <w:t>se odnosi</w:t>
      </w:r>
      <w:r>
        <w:rPr>
          <w:rFonts w:ascii="Times New Roman" w:hAnsi="Times New Roman" w:cs="Times New Roman"/>
          <w:bCs/>
          <w:sz w:val="23"/>
          <w:szCs w:val="23"/>
        </w:rPr>
        <w:t xml:space="preserve"> na dio materijalnih rashoda koje ustanova financira samostaln</w:t>
      </w:r>
      <w:r w:rsidR="00650F60">
        <w:rPr>
          <w:rFonts w:ascii="Times New Roman" w:hAnsi="Times New Roman" w:cs="Times New Roman"/>
          <w:bCs/>
          <w:sz w:val="23"/>
          <w:szCs w:val="23"/>
        </w:rPr>
        <w:t>o</w:t>
      </w:r>
      <w:r>
        <w:rPr>
          <w:rFonts w:ascii="Times New Roman" w:hAnsi="Times New Roman" w:cs="Times New Roman"/>
          <w:bCs/>
          <w:sz w:val="23"/>
          <w:szCs w:val="23"/>
        </w:rPr>
        <w:t>, nagrađivanje zaposlenika</w:t>
      </w:r>
      <w:r w:rsidR="00A80C0C">
        <w:rPr>
          <w:rFonts w:ascii="Times New Roman" w:hAnsi="Times New Roman" w:cs="Times New Roman"/>
          <w:bCs/>
          <w:sz w:val="23"/>
          <w:szCs w:val="23"/>
        </w:rPr>
        <w:t xml:space="preserve">  i dr</w:t>
      </w:r>
      <w:r>
        <w:rPr>
          <w:rFonts w:ascii="Times New Roman" w:hAnsi="Times New Roman" w:cs="Times New Roman"/>
          <w:bCs/>
          <w:sz w:val="23"/>
          <w:szCs w:val="23"/>
        </w:rPr>
        <w:t>.</w:t>
      </w:r>
    </w:p>
    <w:p w14:paraId="0B67EC70" w14:textId="77777777" w:rsidR="000B618F" w:rsidRDefault="000B618F" w:rsidP="000B618F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tbl>
      <w:tblPr>
        <w:tblW w:w="6394" w:type="dxa"/>
        <w:tblInd w:w="1085" w:type="dxa"/>
        <w:tblLayout w:type="fixed"/>
        <w:tblLook w:val="04A0" w:firstRow="1" w:lastRow="0" w:firstColumn="1" w:lastColumn="0" w:noHBand="0" w:noVBand="1"/>
      </w:tblPr>
      <w:tblGrid>
        <w:gridCol w:w="1717"/>
        <w:gridCol w:w="1559"/>
        <w:gridCol w:w="2126"/>
        <w:gridCol w:w="992"/>
      </w:tblGrid>
      <w:tr w:rsidR="00D0368B" w14:paraId="19EF0367" w14:textId="77777777" w:rsidTr="00D0368B">
        <w:trPr>
          <w:trHeight w:val="51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E63159" w14:textId="77777777" w:rsidR="00D0368B" w:rsidRDefault="00D0368B" w:rsidP="00D036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ŠIFRA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FFE0B4" w14:textId="77777777" w:rsidR="00D0368B" w:rsidRDefault="00D0368B" w:rsidP="00D036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TEKUĆI PLAN/ REBALANS 2024.</w:t>
            </w:r>
          </w:p>
          <w:p w14:paraId="145C03CE" w14:textId="77777777" w:rsidR="00D0368B" w:rsidRDefault="00D0368B" w:rsidP="00D036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0AA1F8" w14:textId="77777777" w:rsidR="00D0368B" w:rsidRDefault="00D0368B" w:rsidP="00D036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IZVRŠENJE/ OSTVARENJE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2024.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F48069" w14:textId="77777777" w:rsidR="00D0368B" w:rsidRDefault="00D0368B" w:rsidP="00D036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INDEKS</w:t>
            </w:r>
          </w:p>
        </w:tc>
      </w:tr>
      <w:tr w:rsidR="008E5CAF" w14:paraId="3FC8CAB1" w14:textId="77777777" w:rsidTr="00D0368B">
        <w:trPr>
          <w:trHeight w:val="765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2564C" w14:textId="77777777" w:rsidR="008E5CAF" w:rsidRDefault="008E5CAF" w:rsidP="00D0368B">
            <w:pPr>
              <w:ind w:firstLineChars="300" w:firstLine="60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Aktivnost        A212401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546DA" w14:textId="1E7CEDA5" w:rsidR="008E5CAF" w:rsidRDefault="008E5CAF" w:rsidP="00184ED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</w:t>
            </w:r>
            <w:r w:rsidR="00E520E3">
              <w:rPr>
                <w:color w:val="000000"/>
                <w:sz w:val="20"/>
                <w:szCs w:val="20"/>
              </w:rPr>
              <w:t>572.300,00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BD73C" w14:textId="77777777" w:rsidR="008E5CAF" w:rsidRDefault="008E5CAF" w:rsidP="00184ED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594.833,58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D0D6C" w14:textId="77777777" w:rsidR="008E5CAF" w:rsidRDefault="008E5CAF" w:rsidP="00184ED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103,94 </w:t>
            </w:r>
          </w:p>
        </w:tc>
      </w:tr>
    </w:tbl>
    <w:p w14:paraId="1514B5DB" w14:textId="77777777" w:rsidR="000B618F" w:rsidRDefault="000B618F" w:rsidP="000B618F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0760CE76" w14:textId="77777777" w:rsidR="0016238B" w:rsidRDefault="0016238B" w:rsidP="000B618F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6CEC5783" w14:textId="794A5DED" w:rsidR="0016238B" w:rsidRDefault="0016238B" w:rsidP="0016238B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Aktivnost T212401 Tekući projekt PILOT PROJEKT SPARK</w:t>
      </w:r>
    </w:p>
    <w:p w14:paraId="6A7F5F73" w14:textId="77777777" w:rsidR="0016238B" w:rsidRDefault="0016238B" w:rsidP="0016238B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1CBB668E" w14:textId="276C1253" w:rsidR="0016238B" w:rsidRDefault="0016238B" w:rsidP="0016238B">
      <w:r>
        <w:rPr>
          <w:bCs/>
          <w:sz w:val="23"/>
          <w:szCs w:val="23"/>
        </w:rPr>
        <w:t>Značajno odstupanje vezano je uz Pilot projekt SPARK jer je uplata za projekt zaprimljena</w:t>
      </w:r>
    </w:p>
    <w:p w14:paraId="049EE20D" w14:textId="0FB6F7BA" w:rsidR="0016238B" w:rsidRDefault="0016238B" w:rsidP="0016238B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koncem 2024. godine te je projekt djelomično realiziran u 2024. godini i prenosi se u 2025. godinu.</w:t>
      </w:r>
    </w:p>
    <w:p w14:paraId="09CDA2FF" w14:textId="5E52B123" w:rsidR="0016238B" w:rsidRDefault="0016238B" w:rsidP="0016238B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7F7D3B7E" w14:textId="77777777" w:rsidR="0016238B" w:rsidRDefault="0016238B" w:rsidP="0016238B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tbl>
      <w:tblPr>
        <w:tblW w:w="6394" w:type="dxa"/>
        <w:tblInd w:w="1085" w:type="dxa"/>
        <w:tblLayout w:type="fixed"/>
        <w:tblLook w:val="04A0" w:firstRow="1" w:lastRow="0" w:firstColumn="1" w:lastColumn="0" w:noHBand="0" w:noVBand="1"/>
      </w:tblPr>
      <w:tblGrid>
        <w:gridCol w:w="1717"/>
        <w:gridCol w:w="1559"/>
        <w:gridCol w:w="2126"/>
        <w:gridCol w:w="992"/>
      </w:tblGrid>
      <w:tr w:rsidR="0016238B" w14:paraId="494A8EBC" w14:textId="77777777" w:rsidTr="004C4A97">
        <w:trPr>
          <w:trHeight w:val="51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E62E55" w14:textId="77777777" w:rsidR="0016238B" w:rsidRDefault="0016238B" w:rsidP="004C4A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ŠIFRA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8C4287" w14:textId="77777777" w:rsidR="0016238B" w:rsidRDefault="0016238B" w:rsidP="004C4A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TEKUĆI PLAN/ REBALANS 2024.</w:t>
            </w:r>
          </w:p>
          <w:p w14:paraId="3DE1121B" w14:textId="77777777" w:rsidR="0016238B" w:rsidRDefault="0016238B" w:rsidP="004C4A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806035" w14:textId="77777777" w:rsidR="0016238B" w:rsidRDefault="0016238B" w:rsidP="004C4A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IZVRŠENJE/ OSTVARENJE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2024.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F7DF9F" w14:textId="77777777" w:rsidR="0016238B" w:rsidRDefault="0016238B" w:rsidP="004C4A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INDEKS</w:t>
            </w:r>
          </w:p>
        </w:tc>
      </w:tr>
      <w:tr w:rsidR="0016238B" w14:paraId="5F5069DD" w14:textId="77777777" w:rsidTr="004C4A97">
        <w:trPr>
          <w:trHeight w:val="765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29012" w14:textId="547AF8FC" w:rsidR="0016238B" w:rsidRDefault="0016238B" w:rsidP="004C4A97">
            <w:pPr>
              <w:ind w:firstLineChars="300" w:firstLine="60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Aktivnost        </w:t>
            </w:r>
            <w:r w:rsidRPr="0016238B">
              <w:rPr>
                <w:b/>
                <w:bCs/>
                <w:color w:val="000000"/>
                <w:sz w:val="20"/>
                <w:szCs w:val="20"/>
              </w:rPr>
              <w:t>T212401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DF136" w14:textId="21801181" w:rsidR="0016238B" w:rsidRDefault="0016238B" w:rsidP="004C4A9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50.100,00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B62F6" w14:textId="26E67AD7" w:rsidR="0016238B" w:rsidRDefault="0016238B" w:rsidP="004C4A9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8.332,85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02FA4" w14:textId="4B1A2330" w:rsidR="0016238B" w:rsidRDefault="0016238B" w:rsidP="004C4A9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16,63 </w:t>
            </w:r>
          </w:p>
        </w:tc>
      </w:tr>
    </w:tbl>
    <w:p w14:paraId="2AFA2179" w14:textId="77777777" w:rsidR="0016238B" w:rsidRDefault="0016238B" w:rsidP="0016238B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49551E89" w14:textId="77777777" w:rsidR="00F20A8F" w:rsidRDefault="00F20A8F" w:rsidP="0016238B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49E8099F" w14:textId="77777777" w:rsidR="000B618F" w:rsidRDefault="000B618F" w:rsidP="000B618F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Aktivnost </w:t>
      </w:r>
      <w:r w:rsidRPr="006770B3">
        <w:rPr>
          <w:rFonts w:ascii="Times New Roman" w:hAnsi="Times New Roman" w:cs="Times New Roman"/>
          <w:bCs/>
          <w:sz w:val="23"/>
          <w:szCs w:val="23"/>
        </w:rPr>
        <w:t>A212402</w:t>
      </w:r>
      <w:r>
        <w:rPr>
          <w:rFonts w:ascii="Times New Roman" w:hAnsi="Times New Roman" w:cs="Times New Roman"/>
          <w:bCs/>
          <w:sz w:val="23"/>
          <w:szCs w:val="23"/>
        </w:rPr>
        <w:t xml:space="preserve"> Održavanje i opremanje ustanova u kulturi</w:t>
      </w:r>
    </w:p>
    <w:p w14:paraId="65C5EF74" w14:textId="77777777" w:rsidR="000B618F" w:rsidRDefault="000B618F" w:rsidP="000B618F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7580150C" w14:textId="29100280" w:rsidR="000B618F" w:rsidRDefault="000B618F" w:rsidP="00CA7E3C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  <w:r w:rsidRPr="005A18EC">
        <w:rPr>
          <w:rFonts w:ascii="Times New Roman" w:hAnsi="Times New Roman" w:cs="Times New Roman"/>
          <w:bCs/>
          <w:sz w:val="23"/>
          <w:szCs w:val="23"/>
        </w:rPr>
        <w:t xml:space="preserve">Sukladno iskazanim limitima za izradu plana rashoda izvor 11 Opći prihodi i primici odnosi se na sredstva za </w:t>
      </w:r>
      <w:r>
        <w:rPr>
          <w:rFonts w:ascii="Times New Roman" w:hAnsi="Times New Roman" w:cs="Times New Roman"/>
          <w:bCs/>
          <w:sz w:val="23"/>
          <w:szCs w:val="23"/>
        </w:rPr>
        <w:t>nabavu nove opreme, te obnovu sukladno Proračunu Grada Zagreba.</w:t>
      </w:r>
      <w:r w:rsidRPr="00964894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D0368B">
        <w:rPr>
          <w:rFonts w:ascii="Times New Roman" w:hAnsi="Times New Roman" w:cs="Times New Roman"/>
          <w:bCs/>
          <w:sz w:val="23"/>
          <w:szCs w:val="23"/>
        </w:rPr>
        <w:t>Izvor</w:t>
      </w:r>
      <w:r>
        <w:rPr>
          <w:rFonts w:ascii="Times New Roman" w:hAnsi="Times New Roman" w:cs="Times New Roman"/>
          <w:bCs/>
          <w:sz w:val="23"/>
          <w:szCs w:val="23"/>
        </w:rPr>
        <w:t xml:space="preserve"> 31 Vlastiti prihodi </w:t>
      </w:r>
      <w:r w:rsidR="00D0368B">
        <w:rPr>
          <w:rFonts w:ascii="Times New Roman" w:hAnsi="Times New Roman" w:cs="Times New Roman"/>
          <w:bCs/>
          <w:sz w:val="23"/>
          <w:szCs w:val="23"/>
        </w:rPr>
        <w:t>se odnosi</w:t>
      </w:r>
      <w:r>
        <w:rPr>
          <w:rFonts w:ascii="Times New Roman" w:hAnsi="Times New Roman" w:cs="Times New Roman"/>
          <w:bCs/>
          <w:sz w:val="23"/>
          <w:szCs w:val="23"/>
        </w:rPr>
        <w:t xml:space="preserve"> na dio rashoda za nabavu nove imovine</w:t>
      </w:r>
      <w:r w:rsidR="00CA7E3C">
        <w:rPr>
          <w:rFonts w:ascii="Times New Roman" w:hAnsi="Times New Roman" w:cs="Times New Roman"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</w:rPr>
        <w:t>te obnovu dotrajalih d</w:t>
      </w:r>
      <w:r w:rsidR="00D0368B">
        <w:rPr>
          <w:rFonts w:ascii="Times New Roman" w:hAnsi="Times New Roman" w:cs="Times New Roman"/>
          <w:bCs/>
          <w:sz w:val="23"/>
          <w:szCs w:val="23"/>
        </w:rPr>
        <w:t>i</w:t>
      </w:r>
      <w:r>
        <w:rPr>
          <w:rFonts w:ascii="Times New Roman" w:hAnsi="Times New Roman" w:cs="Times New Roman"/>
          <w:bCs/>
          <w:sz w:val="23"/>
          <w:szCs w:val="23"/>
        </w:rPr>
        <w:t>jelova</w:t>
      </w:r>
      <w:r w:rsidR="00CA7E3C">
        <w:rPr>
          <w:rFonts w:ascii="Times New Roman" w:hAnsi="Times New Roman" w:cs="Times New Roman"/>
          <w:bCs/>
          <w:sz w:val="23"/>
          <w:szCs w:val="23"/>
        </w:rPr>
        <w:t>.</w:t>
      </w:r>
    </w:p>
    <w:p w14:paraId="4DB45A61" w14:textId="77777777" w:rsidR="000B618F" w:rsidRDefault="000B618F" w:rsidP="000B618F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24FBDD1D" w14:textId="77777777" w:rsidR="00CA7E3C" w:rsidRDefault="00CA7E3C" w:rsidP="000B618F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tbl>
      <w:tblPr>
        <w:tblW w:w="6402" w:type="dxa"/>
        <w:tblInd w:w="1077" w:type="dxa"/>
        <w:tblLayout w:type="fixed"/>
        <w:tblLook w:val="04A0" w:firstRow="1" w:lastRow="0" w:firstColumn="1" w:lastColumn="0" w:noHBand="0" w:noVBand="1"/>
      </w:tblPr>
      <w:tblGrid>
        <w:gridCol w:w="1725"/>
        <w:gridCol w:w="1559"/>
        <w:gridCol w:w="2126"/>
        <w:gridCol w:w="992"/>
      </w:tblGrid>
      <w:tr w:rsidR="00D0368B" w14:paraId="3AECD6AD" w14:textId="77777777" w:rsidTr="00D0368B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FC202B" w14:textId="77777777" w:rsidR="00D0368B" w:rsidRDefault="00D0368B" w:rsidP="00F41B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ŠIFRA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6ADECC" w14:textId="77777777" w:rsidR="00D0368B" w:rsidRDefault="00D0368B" w:rsidP="00F41B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TEKUĆI PLAN/ REBALANS 2024.</w:t>
            </w:r>
          </w:p>
          <w:p w14:paraId="7FF21564" w14:textId="77777777" w:rsidR="00D0368B" w:rsidRDefault="00D0368B" w:rsidP="00F41B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2BA301" w14:textId="77777777" w:rsidR="00D0368B" w:rsidRDefault="00D0368B" w:rsidP="00F41B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IZVRŠENJE/ OSTVARENJE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2024.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1912A2" w14:textId="77777777" w:rsidR="00D0368B" w:rsidRDefault="00D0368B" w:rsidP="00F41B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INDEKS</w:t>
            </w:r>
          </w:p>
        </w:tc>
      </w:tr>
      <w:tr w:rsidR="00D0368B" w14:paraId="3CDDEF8F" w14:textId="77777777" w:rsidTr="00D0368B">
        <w:trPr>
          <w:trHeight w:val="765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46E36" w14:textId="77777777" w:rsidR="00D0368B" w:rsidRDefault="00D0368B" w:rsidP="00D0368B">
            <w:pPr>
              <w:ind w:firstLineChars="300" w:firstLine="60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Aktivnost K212401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4CC67" w14:textId="77777777" w:rsidR="00D0368B" w:rsidRDefault="00D0368B" w:rsidP="00F41B5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</w:t>
            </w:r>
            <w:r w:rsidR="00F41B5A">
              <w:rPr>
                <w:color w:val="000000"/>
                <w:sz w:val="20"/>
                <w:szCs w:val="20"/>
              </w:rPr>
              <w:t>42.900,00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293DD" w14:textId="77777777" w:rsidR="00D0368B" w:rsidRDefault="00F41B5A" w:rsidP="00F41B5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41.306,54</w:t>
            </w:r>
            <w:r w:rsidR="00D0368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F5648" w14:textId="77777777" w:rsidR="00D0368B" w:rsidRDefault="00D0368B" w:rsidP="00F41B5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</w:t>
            </w:r>
            <w:r w:rsidR="00F41B5A">
              <w:rPr>
                <w:color w:val="000000"/>
                <w:sz w:val="20"/>
                <w:szCs w:val="20"/>
              </w:rPr>
              <w:t>96,29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09095C81" w14:textId="77777777" w:rsidR="00F20A8F" w:rsidRDefault="00F20A8F" w:rsidP="00E520E3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5AB69059" w14:textId="77777777" w:rsidR="00F20A8F" w:rsidRDefault="00F20A8F" w:rsidP="00E520E3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6ACDA829" w14:textId="472E6A73" w:rsidR="00E520E3" w:rsidRDefault="00E520E3" w:rsidP="00E520E3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Aktivnost </w:t>
      </w:r>
      <w:r w:rsidRPr="006770B3">
        <w:rPr>
          <w:rFonts w:ascii="Times New Roman" w:hAnsi="Times New Roman" w:cs="Times New Roman"/>
          <w:bCs/>
          <w:sz w:val="23"/>
          <w:szCs w:val="23"/>
        </w:rPr>
        <w:t>A212402</w:t>
      </w:r>
      <w:r>
        <w:rPr>
          <w:rFonts w:ascii="Times New Roman" w:hAnsi="Times New Roman" w:cs="Times New Roman"/>
          <w:bCs/>
          <w:sz w:val="23"/>
          <w:szCs w:val="23"/>
        </w:rPr>
        <w:t xml:space="preserve"> Programska djelatnost javnih ustanova</w:t>
      </w:r>
    </w:p>
    <w:p w14:paraId="6EB92141" w14:textId="77777777" w:rsidR="00E520E3" w:rsidRDefault="00E520E3" w:rsidP="00E520E3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4F3DBE43" w14:textId="77777777" w:rsidR="00E520E3" w:rsidRDefault="00E520E3" w:rsidP="00E520E3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  <w:r w:rsidRPr="006770B3">
        <w:rPr>
          <w:rFonts w:ascii="Times New Roman" w:hAnsi="Times New Roman" w:cs="Times New Roman"/>
          <w:bCs/>
          <w:sz w:val="23"/>
          <w:szCs w:val="23"/>
        </w:rPr>
        <w:t xml:space="preserve">Sukladno utvrđenim limitima </w:t>
      </w:r>
      <w:r>
        <w:rPr>
          <w:rFonts w:ascii="Times New Roman" w:hAnsi="Times New Roman" w:cs="Times New Roman"/>
          <w:bCs/>
          <w:sz w:val="23"/>
          <w:szCs w:val="23"/>
        </w:rPr>
        <w:t>Centar mladih Ribnjak</w:t>
      </w:r>
      <w:r w:rsidRPr="006770B3">
        <w:rPr>
          <w:rFonts w:ascii="Times New Roman" w:hAnsi="Times New Roman" w:cs="Times New Roman"/>
          <w:bCs/>
          <w:sz w:val="23"/>
          <w:szCs w:val="23"/>
        </w:rPr>
        <w:t xml:space="preserve"> je izradilo limite za planiranje rashoda za izvor 11 Opći prihodi i primici iz aktivnosti</w:t>
      </w:r>
      <w:r>
        <w:rPr>
          <w:rFonts w:ascii="Times New Roman" w:hAnsi="Times New Roman" w:cs="Times New Roman"/>
          <w:bCs/>
          <w:sz w:val="23"/>
          <w:szCs w:val="23"/>
        </w:rPr>
        <w:t>.</w:t>
      </w:r>
    </w:p>
    <w:p w14:paraId="0EB8EFBA" w14:textId="77777777" w:rsidR="00E520E3" w:rsidRDefault="00E520E3" w:rsidP="00E520E3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  <w:r w:rsidRPr="006770B3">
        <w:rPr>
          <w:rFonts w:ascii="Times New Roman" w:hAnsi="Times New Roman" w:cs="Times New Roman"/>
          <w:bCs/>
          <w:sz w:val="23"/>
          <w:szCs w:val="23"/>
        </w:rPr>
        <w:t>Izvršenje rashoda s navedene aktivnosti provodi se s računa proračunskog korisnika, a korisnici treće razine primljena sredstva evidentiraju u okviru podskupine 671 Prihodi iz nadležnog proračuna za financiranje redovne djelatnosti proračunskih korisnika (izvor 11) na kojem se iskazuju stvarni rashodi na odgovarajućim osnovnim računima ekonomske klasifikacije.</w:t>
      </w:r>
    </w:p>
    <w:p w14:paraId="67D16ED0" w14:textId="77777777" w:rsidR="00E520E3" w:rsidRDefault="00E520E3" w:rsidP="00E520E3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Rashodi s ostalih izvora financiranja su izvršeni u okvirima planiranog i prema ugovorima o financiranju.</w:t>
      </w:r>
    </w:p>
    <w:p w14:paraId="6894FCE6" w14:textId="77777777" w:rsidR="00E520E3" w:rsidRDefault="00E520E3" w:rsidP="00E520E3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tbl>
      <w:tblPr>
        <w:tblW w:w="6394" w:type="dxa"/>
        <w:tblInd w:w="1085" w:type="dxa"/>
        <w:tblLayout w:type="fixed"/>
        <w:tblLook w:val="04A0" w:firstRow="1" w:lastRow="0" w:firstColumn="1" w:lastColumn="0" w:noHBand="0" w:noVBand="1"/>
      </w:tblPr>
      <w:tblGrid>
        <w:gridCol w:w="1717"/>
        <w:gridCol w:w="1559"/>
        <w:gridCol w:w="2126"/>
        <w:gridCol w:w="992"/>
      </w:tblGrid>
      <w:tr w:rsidR="00E520E3" w14:paraId="3CC54865" w14:textId="77777777" w:rsidTr="004C4A97">
        <w:trPr>
          <w:trHeight w:val="51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B6ED81" w14:textId="77777777" w:rsidR="00E520E3" w:rsidRDefault="00E520E3" w:rsidP="004C4A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ŠIFRA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C2418F" w14:textId="77777777" w:rsidR="00E520E3" w:rsidRDefault="00E520E3" w:rsidP="004C4A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TEKUĆI PLAN/ REBALANS 2024.</w:t>
            </w:r>
          </w:p>
          <w:p w14:paraId="1159E0AC" w14:textId="77777777" w:rsidR="00E520E3" w:rsidRDefault="00E520E3" w:rsidP="004C4A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0CD22B" w14:textId="77777777" w:rsidR="00E520E3" w:rsidRDefault="00E520E3" w:rsidP="004C4A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IZVRŠENJE/ OSTVARENJE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2024.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6E7917D" w14:textId="77777777" w:rsidR="00E520E3" w:rsidRDefault="00E520E3" w:rsidP="004C4A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INDEKS</w:t>
            </w:r>
          </w:p>
        </w:tc>
      </w:tr>
      <w:tr w:rsidR="00E520E3" w14:paraId="63292279" w14:textId="77777777" w:rsidTr="004C4A97">
        <w:trPr>
          <w:trHeight w:val="765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71850" w14:textId="77777777" w:rsidR="00E520E3" w:rsidRDefault="00E520E3" w:rsidP="004C4A97">
            <w:pPr>
              <w:ind w:firstLineChars="300" w:firstLine="60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Aktivnost A212402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CBC29" w14:textId="24764D7D" w:rsidR="00E520E3" w:rsidRDefault="00E520E3" w:rsidP="004C4A9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110.100,00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B378D" w14:textId="4F0F074A" w:rsidR="00E520E3" w:rsidRDefault="00E520E3" w:rsidP="004C4A9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122.097,28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F0114" w14:textId="3D649E55" w:rsidR="00E520E3" w:rsidRDefault="00E520E3" w:rsidP="004C4A9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110,90 </w:t>
            </w:r>
          </w:p>
        </w:tc>
      </w:tr>
    </w:tbl>
    <w:p w14:paraId="335FA017" w14:textId="77777777" w:rsidR="000B618F" w:rsidRDefault="000B618F" w:rsidP="000B618F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768D6FF0" w14:textId="77777777" w:rsidR="000B618F" w:rsidRDefault="000B618F" w:rsidP="000B618F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2B0C455F" w14:textId="77777777" w:rsidR="000B618F" w:rsidRDefault="000B618F" w:rsidP="000B618F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10CE18AB" w14:textId="77777777" w:rsidR="000B618F" w:rsidRDefault="000B618F" w:rsidP="000B618F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4D9512B7" w14:textId="77777777" w:rsidR="000B618F" w:rsidRDefault="000B618F" w:rsidP="000B618F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6AFBD1F7" w14:textId="77777777" w:rsidR="000B618F" w:rsidRDefault="000B618F" w:rsidP="000B618F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59B2E89D" w14:textId="77777777" w:rsidR="000B618F" w:rsidRDefault="000B618F" w:rsidP="000B618F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3F92C0DA" w14:textId="77777777" w:rsidR="000B618F" w:rsidRDefault="000B618F" w:rsidP="000B618F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7BFD41A9" w14:textId="77777777" w:rsidR="000B618F" w:rsidRDefault="000B618F" w:rsidP="000B618F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3DCCE1C3" w14:textId="77777777" w:rsidR="000B618F" w:rsidRDefault="000B618F" w:rsidP="000B618F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77FDC8EF" w14:textId="77777777" w:rsidR="000B618F" w:rsidRDefault="000B618F" w:rsidP="000B618F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5E126385" w14:textId="77777777" w:rsidR="000B618F" w:rsidRDefault="000B618F" w:rsidP="000B618F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0280D856" w14:textId="77777777" w:rsidR="000B618F" w:rsidRDefault="000B618F" w:rsidP="000B618F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23F807C0" w14:textId="77777777" w:rsidR="000B618F" w:rsidRDefault="000B618F" w:rsidP="000B618F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7D4E268B" w14:textId="77777777" w:rsidR="000B618F" w:rsidRDefault="000B618F" w:rsidP="000B618F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3A299284" w14:textId="77777777" w:rsidR="000B618F" w:rsidRDefault="000B618F" w:rsidP="000B618F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67E69AB5" w14:textId="77777777" w:rsidR="000B618F" w:rsidRDefault="000B618F" w:rsidP="000B618F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14C9F9E8" w14:textId="77777777" w:rsidR="000B618F" w:rsidRDefault="000B618F" w:rsidP="000B618F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2384FF31" w14:textId="77777777" w:rsidR="000B618F" w:rsidRDefault="000B618F" w:rsidP="000B618F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403EC056" w14:textId="77777777" w:rsidR="000B618F" w:rsidRDefault="000B618F" w:rsidP="000B618F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42656C4C" w14:textId="77777777" w:rsidR="000B618F" w:rsidRDefault="000B618F" w:rsidP="000B618F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47F87D45" w14:textId="77777777" w:rsidR="000B618F" w:rsidRDefault="000B618F" w:rsidP="000B618F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22EA9BDB" w14:textId="77777777" w:rsidR="000B618F" w:rsidRDefault="000B618F" w:rsidP="000B618F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1D69E798" w14:textId="77777777" w:rsidR="000B618F" w:rsidRDefault="000B618F" w:rsidP="000B618F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02E66D31" w14:textId="77777777" w:rsidR="000B618F" w:rsidRDefault="000B618F" w:rsidP="000B618F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57A5B35B" w14:textId="77777777" w:rsidR="000B618F" w:rsidRDefault="000B618F" w:rsidP="000B618F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16B5F1E0" w14:textId="77777777" w:rsidR="000B618F" w:rsidRDefault="000B618F" w:rsidP="000B618F">
      <w:pPr>
        <w:pStyle w:val="Default"/>
        <w:jc w:val="right"/>
        <w:rPr>
          <w:bCs/>
          <w:sz w:val="23"/>
          <w:szCs w:val="23"/>
        </w:rPr>
      </w:pPr>
      <w:r>
        <w:rPr>
          <w:bCs/>
          <w:sz w:val="23"/>
          <w:szCs w:val="23"/>
        </w:rPr>
        <w:t>Ravnateljica</w:t>
      </w:r>
      <w:r w:rsidRPr="00964894">
        <w:rPr>
          <w:bCs/>
          <w:sz w:val="23"/>
          <w:szCs w:val="23"/>
        </w:rPr>
        <w:t xml:space="preserve">: </w:t>
      </w:r>
    </w:p>
    <w:p w14:paraId="5D0CD452" w14:textId="77777777" w:rsidR="000B618F" w:rsidRPr="00964894" w:rsidRDefault="000B618F" w:rsidP="000B618F">
      <w:pPr>
        <w:pStyle w:val="Default"/>
        <w:jc w:val="right"/>
        <w:rPr>
          <w:bCs/>
          <w:sz w:val="23"/>
          <w:szCs w:val="23"/>
        </w:rPr>
      </w:pPr>
      <w:r>
        <w:rPr>
          <w:bCs/>
          <w:sz w:val="23"/>
          <w:szCs w:val="23"/>
        </w:rPr>
        <w:t>Pavlica Bajsić</w:t>
      </w:r>
    </w:p>
    <w:p w14:paraId="668CE96E" w14:textId="77777777" w:rsidR="00E41F7C" w:rsidRPr="00E41F7C" w:rsidRDefault="00E41F7C" w:rsidP="00E41F7C">
      <w:pPr>
        <w:autoSpaceDE w:val="0"/>
        <w:autoSpaceDN w:val="0"/>
        <w:adjustRightInd w:val="0"/>
        <w:rPr>
          <w:rFonts w:eastAsia="Calibri"/>
          <w:bCs/>
          <w:color w:val="000000"/>
          <w:sz w:val="20"/>
          <w:szCs w:val="20"/>
        </w:rPr>
      </w:pPr>
    </w:p>
    <w:sectPr w:rsidR="00E41F7C" w:rsidRPr="00E41F7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DDF63" w14:textId="77777777" w:rsidR="00F172D5" w:rsidRDefault="00F172D5" w:rsidP="00C72001">
      <w:r>
        <w:separator/>
      </w:r>
    </w:p>
  </w:endnote>
  <w:endnote w:type="continuationSeparator" w:id="0">
    <w:p w14:paraId="6BEFB9EA" w14:textId="77777777" w:rsidR="00F172D5" w:rsidRDefault="00F172D5" w:rsidP="00C72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65748" w14:textId="77777777" w:rsidR="00C72001" w:rsidRDefault="00C72001" w:rsidP="00C72001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spacing w:before="85"/>
      <w:rPr>
        <w:rFonts w:ascii="Arial" w:eastAsia="Arial" w:hAnsi="Arial" w:cs="Arial"/>
        <w:color w:val="4C4C4C"/>
        <w:sz w:val="16"/>
        <w:szCs w:val="16"/>
      </w:rPr>
    </w:pPr>
    <w:r>
      <w:rPr>
        <w:rFonts w:ascii="Arial" w:eastAsia="Arial" w:hAnsi="Arial" w:cs="Arial"/>
        <w:b/>
        <w:color w:val="4C4C4C"/>
        <w:sz w:val="16"/>
        <w:szCs w:val="16"/>
      </w:rPr>
      <w:t>Centar mladih Ribnjak</w:t>
    </w:r>
    <w:r>
      <w:rPr>
        <w:rFonts w:ascii="Arial" w:eastAsia="Arial" w:hAnsi="Arial" w:cs="Arial"/>
        <w:color w:val="4C4C4C"/>
        <w:sz w:val="16"/>
        <w:szCs w:val="16"/>
      </w:rPr>
      <w:t xml:space="preserve">, Park Ribnjak 1, 10 000 Zagreb, web: </w:t>
    </w:r>
    <w:r>
      <w:rPr>
        <w:rFonts w:ascii="Arial" w:eastAsia="Arial" w:hAnsi="Arial" w:cs="Arial"/>
        <w:b/>
        <w:color w:val="4C4C4C"/>
        <w:sz w:val="16"/>
        <w:szCs w:val="16"/>
      </w:rPr>
      <w:t>www.cmr.hr</w:t>
    </w:r>
    <w:r>
      <w:rPr>
        <w:rFonts w:ascii="Arial" w:eastAsia="Arial" w:hAnsi="Arial" w:cs="Arial"/>
        <w:color w:val="4C4C4C"/>
        <w:sz w:val="16"/>
        <w:szCs w:val="16"/>
      </w:rPr>
      <w:t xml:space="preserve">, e-mail: </w:t>
    </w:r>
    <w:hyperlink r:id="rId1">
      <w:r>
        <w:rPr>
          <w:rFonts w:ascii="Arial" w:eastAsia="Arial" w:hAnsi="Arial" w:cs="Arial"/>
          <w:color w:val="000080"/>
          <w:sz w:val="16"/>
          <w:szCs w:val="16"/>
          <w:u w:val="single"/>
        </w:rPr>
        <w:t>cmr@cmr.hr</w:t>
      </w:r>
    </w:hyperlink>
    <w:r>
      <w:rPr>
        <w:rFonts w:ascii="Arial" w:eastAsia="Arial" w:hAnsi="Arial" w:cs="Arial"/>
        <w:b/>
        <w:color w:val="4C4C4C"/>
        <w:sz w:val="16"/>
        <w:szCs w:val="16"/>
      </w:rPr>
      <w:t xml:space="preserve"> </w:t>
    </w:r>
    <w:r>
      <w:rPr>
        <w:rFonts w:ascii="Arial" w:eastAsia="Arial" w:hAnsi="Arial" w:cs="Arial"/>
        <w:color w:val="4C4C4C"/>
        <w:sz w:val="16"/>
        <w:szCs w:val="16"/>
      </w:rPr>
      <w:t xml:space="preserve">tel: 01/4814734, 01/4814719, fax: 01/4814735, mob: 091/4814 733, 091/4814 734, ž.r.: IBAN: HR93 23600001101563579, MB: 3278328, OIB: 45058007791 </w: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424F393A" wp14:editId="74533844">
              <wp:simplePos x="0" y="0"/>
              <wp:positionH relativeFrom="column">
                <wp:posOffset>-25399</wp:posOffset>
              </wp:positionH>
              <wp:positionV relativeFrom="paragraph">
                <wp:posOffset>0</wp:posOffset>
              </wp:positionV>
              <wp:extent cx="6139200" cy="64155"/>
              <wp:effectExtent l="0" t="0" r="0" b="0"/>
              <wp:wrapNone/>
              <wp:docPr id="15" name="Ravni poveznik sa strelicom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98000" y="3769523"/>
                        <a:ext cx="6096000" cy="20955"/>
                      </a:xfrm>
                      <a:prstGeom prst="straightConnector1">
                        <a:avLst/>
                      </a:prstGeom>
                      <a:noFill/>
                      <a:ln w="10800" cap="flat" cmpd="sng">
                        <a:solidFill>
                          <a:srgbClr val="FFFF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3AA3F29" id="_x0000_t32" coordsize="21600,21600" o:spt="32" o:oned="t" path="m,l21600,21600e" filled="f">
              <v:path arrowok="t" fillok="f" o:connecttype="none"/>
              <o:lock v:ext="edit" shapetype="t"/>
            </v:shapetype>
            <v:shape id="Ravni poveznik sa strelicom 15" o:spid="_x0000_s1026" type="#_x0000_t32" style="position:absolute;margin-left:-2pt;margin-top:0;width:483.4pt;height:5.0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" strokecolor="yellow" strokeweight=".3mm">
              <v:stroke startarrowwidth="narrow" startarrowlength="short" endarrowwidth="narrow" endarrowlength="short"/>
            </v:shape>
          </w:pict>
        </mc:Fallback>
      </mc:AlternateContent>
    </w:r>
  </w:p>
  <w:p w14:paraId="5C070B66" w14:textId="609EB804" w:rsidR="00C72001" w:rsidRPr="00C72001" w:rsidRDefault="00C72001" w:rsidP="00C720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9B67C" w14:textId="77777777" w:rsidR="00F172D5" w:rsidRDefault="00F172D5" w:rsidP="00C72001">
      <w:r>
        <w:separator/>
      </w:r>
    </w:p>
  </w:footnote>
  <w:footnote w:type="continuationSeparator" w:id="0">
    <w:p w14:paraId="3B1CAAE5" w14:textId="77777777" w:rsidR="00F172D5" w:rsidRDefault="00F172D5" w:rsidP="00C72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23709" w14:textId="6B54E8DA" w:rsidR="00C72001" w:rsidRDefault="00C72001">
    <w:pPr>
      <w:pStyle w:val="Zaglavlje"/>
    </w:pPr>
    <w:r>
      <w:rPr>
        <w:noProof/>
        <w:color w:val="000000"/>
      </w:rPr>
      <w:drawing>
        <wp:inline distT="0" distB="0" distL="0" distR="0" wp14:anchorId="255316CF" wp14:editId="7F9EC283">
          <wp:extent cx="2040223" cy="1023018"/>
          <wp:effectExtent l="0" t="0" r="0" b="0"/>
          <wp:docPr id="16" name="image1.png" descr="CMR_memorandu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MR_memorandu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0223" cy="10230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112DA9B" w14:textId="77777777" w:rsidR="00C72001" w:rsidRDefault="00C7200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E6943"/>
    <w:multiLevelType w:val="hybridMultilevel"/>
    <w:tmpl w:val="0E786314"/>
    <w:lvl w:ilvl="0" w:tplc="34B08E5E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51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32"/>
    <w:rsid w:val="000212CB"/>
    <w:rsid w:val="000B618F"/>
    <w:rsid w:val="000D6E8B"/>
    <w:rsid w:val="0016238B"/>
    <w:rsid w:val="001C78EC"/>
    <w:rsid w:val="00210EC7"/>
    <w:rsid w:val="00243F7A"/>
    <w:rsid w:val="002E1CDB"/>
    <w:rsid w:val="00323F2A"/>
    <w:rsid w:val="00422232"/>
    <w:rsid w:val="004331D9"/>
    <w:rsid w:val="004C43AF"/>
    <w:rsid w:val="00506F13"/>
    <w:rsid w:val="00650F60"/>
    <w:rsid w:val="006D7080"/>
    <w:rsid w:val="007665AC"/>
    <w:rsid w:val="007C1A86"/>
    <w:rsid w:val="008E5CAF"/>
    <w:rsid w:val="008F7DBC"/>
    <w:rsid w:val="009C1F30"/>
    <w:rsid w:val="00A25C72"/>
    <w:rsid w:val="00A7078F"/>
    <w:rsid w:val="00A80C0C"/>
    <w:rsid w:val="00AF1150"/>
    <w:rsid w:val="00B50623"/>
    <w:rsid w:val="00C72001"/>
    <w:rsid w:val="00CA7E3C"/>
    <w:rsid w:val="00D0368B"/>
    <w:rsid w:val="00D452F8"/>
    <w:rsid w:val="00D86D92"/>
    <w:rsid w:val="00DE6EB1"/>
    <w:rsid w:val="00DF7D0C"/>
    <w:rsid w:val="00E41F7C"/>
    <w:rsid w:val="00E520E3"/>
    <w:rsid w:val="00F172D5"/>
    <w:rsid w:val="00F20A8F"/>
    <w:rsid w:val="00F41B5A"/>
    <w:rsid w:val="00F63AF1"/>
    <w:rsid w:val="00F8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71E5"/>
  <w15:docId w15:val="{C1260155-8E38-40F5-99AE-B7B0DED4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42223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22232"/>
    <w:rPr>
      <w:color w:val="0000FF" w:themeColor="hyperlink"/>
      <w:u w:val="single"/>
    </w:rPr>
  </w:style>
  <w:style w:type="character" w:customStyle="1" w:styleId="Naslov3Char">
    <w:name w:val="Naslov 3 Char"/>
    <w:basedOn w:val="Zadanifontodlomka"/>
    <w:link w:val="Naslov3"/>
    <w:uiPriority w:val="9"/>
    <w:rsid w:val="00422232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go">
    <w:name w:val="go"/>
    <w:basedOn w:val="Zadanifontodlomka"/>
    <w:rsid w:val="00422232"/>
  </w:style>
  <w:style w:type="paragraph" w:styleId="Bezproreda">
    <w:name w:val="No Spacing"/>
    <w:uiPriority w:val="1"/>
    <w:qFormat/>
    <w:rsid w:val="00422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3F7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3F7A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rsid w:val="008F7D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7200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7200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7200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7200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mr@cmr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r@cmr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Knjiga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Knjiga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List1!$C$8</c:f>
              <c:strCache>
                <c:ptCount val="1"/>
                <c:pt idx="0">
                  <c:v>Izvršenje 2024.</c:v>
                </c:pt>
              </c:strCache>
            </c:strRef>
          </c:tx>
          <c:explosion val="25"/>
          <c:cat>
            <c:strRef>
              <c:f>List1!$B$9:$B$11</c:f>
              <c:strCache>
                <c:ptCount val="3"/>
                <c:pt idx="0">
                  <c:v>Izvor 11</c:v>
                </c:pt>
                <c:pt idx="1">
                  <c:v>Izvor 31</c:v>
                </c:pt>
                <c:pt idx="2">
                  <c:v>Izvor 52</c:v>
                </c:pt>
              </c:strCache>
            </c:strRef>
          </c:cat>
          <c:val>
            <c:numRef>
              <c:f>List1!$C$9:$C$11</c:f>
              <c:numCache>
                <c:formatCode>_(* #,##0.00_);_(* \(#,##0.00\);_(* "-"??_);_(@_)</c:formatCode>
                <c:ptCount val="3"/>
                <c:pt idx="0">
                  <c:v>628550.73</c:v>
                </c:pt>
                <c:pt idx="1">
                  <c:v>103302.11</c:v>
                </c:pt>
                <c:pt idx="2">
                  <c:v>63290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6B-402C-A548-085C4F42E7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List1!$C$21</c:f>
              <c:strCache>
                <c:ptCount val="1"/>
                <c:pt idx="0">
                  <c:v>Izvršenje 2024.</c:v>
                </c:pt>
              </c:strCache>
            </c:strRef>
          </c:tx>
          <c:cat>
            <c:strRef>
              <c:f>List1!$B$22:$B$24</c:f>
              <c:strCache>
                <c:ptCount val="3"/>
                <c:pt idx="0">
                  <c:v>Izvor 11</c:v>
                </c:pt>
                <c:pt idx="1">
                  <c:v>Izvor 31</c:v>
                </c:pt>
                <c:pt idx="2">
                  <c:v>Izvor 52</c:v>
                </c:pt>
              </c:strCache>
            </c:strRef>
          </c:cat>
          <c:val>
            <c:numRef>
              <c:f>List1!$C$22:$C$24</c:f>
              <c:numCache>
                <c:formatCode>_(* #,##0.00_);_(* \(#,##0.00\);_(* "-"??_);_(@_)</c:formatCode>
                <c:ptCount val="3"/>
                <c:pt idx="0">
                  <c:v>656973.98</c:v>
                </c:pt>
                <c:pt idx="1">
                  <c:v>98053.68</c:v>
                </c:pt>
                <c:pt idx="2">
                  <c:v>11542.59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3F-4495-B8F6-D8C3781EC4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CMR</cp:lastModifiedBy>
  <cp:revision>26</cp:revision>
  <dcterms:created xsi:type="dcterms:W3CDTF">2025-03-27T10:23:00Z</dcterms:created>
  <dcterms:modified xsi:type="dcterms:W3CDTF">2025-03-31T07:24:00Z</dcterms:modified>
</cp:coreProperties>
</file>