
<file path=[Content_Types].xml><?xml version="1.0" encoding="utf-8"?>
<Types xmlns="http://schemas.openxmlformats.org/package/2006/content-types">
  <Default ContentType="application/vnd.openxmlformats-officedocument.spreadsheetml.sheet" Extension="xlsx"/>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2.xml"/>
  <Override ContentType="application/vnd.ms-office.chartcolorstyle+xml" PartName="/word/charts/colors1.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theme+xml" PartName="/word/theme/theme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1.xml"/>
  <Override ContentType="application/vnd.openxmlformats-officedocument.wordprocessingml.numbering+xml" PartName="/word/numbering.xml"/>
  <Override ContentType="application/vnd.ms-office.chartstyle+xml" PartName="/word/charts/style1.xml"/>
  <Override ContentType="application/vnd.ms-office.chartstyle+xml" PartName="/word/charts/style2.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b w:val="1"/>
          <w:bCs w:val="1"/>
          <w:color w:val="000000"/>
          <w:sz w:val="36"/>
          <w:szCs w:val="36"/>
        </w:rPr>
      </w:pPr>
      <w:r w:rsidDel="00000000" w:rsidR="00000000" w:rsidRPr="00000000">
        <w:rPr>
          <w:b w:val="1"/>
          <w:bCs w:val="1"/>
          <w:color w:val="000000"/>
          <w:sz w:val="36"/>
          <w:szCs w:val="36"/>
          <w:rtl w:val="0"/>
        </w:rPr>
        <w:t xml:space="preserve">IZVJEŠTAJ O IZVRŠENJU FINANCIJSKOG PLANA ZA RAZDOBLJE OD 01.01.2025. DO 31.12.2025. GODINE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i w:val="1"/>
          <w:iCs w:val="1"/>
          <w:color w:val="000000"/>
          <w:sz w:val="28"/>
          <w:szCs w:val="28"/>
        </w:rPr>
      </w:pPr>
      <w:r w:rsidDel="00000000" w:rsidR="00000000" w:rsidRPr="00000000">
        <w:rPr>
          <w:rtl w:val="0"/>
        </w:rPr>
      </w:r>
    </w:p>
    <w:p w:rsidR="00000000" w:rsidDel="00000000" w:rsidP="00000000" w:rsidRDefault="00000000" w:rsidRPr="00000000" w14:paraId="0000001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bCs w:val="0"/>
          <w:i w:val="0"/>
          <w:iCs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bCs w:val="0"/>
          <w:i w:val="0"/>
          <w:iCs w:val="0"/>
          <w:smallCaps w:val="0"/>
          <w:strike w:val="0"/>
          <w:color w:val="2f5496"/>
          <w:sz w:val="32"/>
          <w:szCs w:val="32"/>
          <w:u w:val="none"/>
          <w:shd w:fill="auto" w:val="clear"/>
          <w:vertAlign w:val="baseline"/>
          <w:rtl w:val="0"/>
        </w:rPr>
        <w:t xml:space="preserve">Sadržaj</w:t>
      </w:r>
    </w:p>
    <w:sdt>
      <w:sdtPr>
        <w:id w:val="1032531777"/>
        <w:docPartObj>
          <w:docPartGallery w:val="Table of Contents"/>
          <w:docPartUnique w:val="1"/>
        </w:docPartObj>
      </w:sdtPr>
      <w:sdtContent>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302"/>
            </w:tabs>
            <w:spacing w:after="10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y0j6o5rkyrin">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w:t>
              <w:tab/>
              <w:t xml:space="preserve">OBRAZLOŽENJE OPĆEG DIJELA IZVRŠENJA</w:t>
              <w:tab/>
              <w:t xml:space="preserve">3</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302"/>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ixj3jz30r9c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w:t>
              <w:tab/>
              <w:t xml:space="preserve">PRIHODI I PRIMICI</w:t>
              <w:tab/>
              <w:t xml:space="preserve">3</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302"/>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x3pzj7xo8mu">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w:t>
              <w:tab/>
              <w:t xml:space="preserve">RASHODI I IZDACI</w:t>
              <w:tab/>
              <w:t xml:space="preserve">5</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302"/>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ymgy7wawiex">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w:t>
              <w:tab/>
              <w:t xml:space="preserve">PRIJENOS SREDSTAVA IZ PRETHODNE I U SLJEDEĆU GODINU</w:t>
              <w:tab/>
              <w:t xml:space="preserve">6</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302"/>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88ld11qotrfa">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1.4.</w:t>
              <w:tab/>
              <w:t xml:space="preserve">PODACI O STANJU NOVČANIH SREDSTAVA</w:t>
              <w:tab/>
              <w:t xml:space="preserve">6</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302"/>
            </w:tabs>
            <w:spacing w:after="10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k6r062cpmixp">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w:t>
              <w:tab/>
              <w:t xml:space="preserve">OBRAZLOŽENJE POSEBNOG DIJELA IZVRŠENJA</w:t>
              <w:tab/>
              <w:t xml:space="preserve">7</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302"/>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f173kcf5ai0j">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w:t>
              <w:tab/>
              <w:t xml:space="preserve">Sažetak djelokruga rada proračunskog korisnika</w:t>
              <w:tab/>
              <w:t xml:space="preserve">7</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302"/>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tvq2n25c5bvh">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2.2.</w:t>
              <w:tab/>
              <w:t xml:space="preserve">Zakonske i druge podloge za provedbu programa</w:t>
              <w:tab/>
              <w:t xml:space="preserve">8</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60"/>
              <w:tab w:val="right" w:leader="none" w:pos="10302"/>
            </w:tabs>
            <w:spacing w:after="100" w:before="0" w:line="278.00000000000006" w:lineRule="auto"/>
            <w:ind w:left="24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6dpi3vg3p5">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2.3.</w:t>
              <w:tab/>
              <w:t xml:space="preserve">Opis aktivnosti projekata</w:t>
              <w:tab/>
              <w:t xml:space="preserve">9</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80"/>
              <w:tab w:val="right" w:leader="none" w:pos="10302"/>
            </w:tabs>
            <w:spacing w:after="10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hyperlink w:anchor="_heading=h.42sc5uhnp80g">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3.</w:t>
              <w:tab/>
              <w:t xml:space="preserve">CILJEVI I POKAZATELJI USPJEŠNOSTI</w:t>
              <w:tab/>
              <w:t xml:space="preserve">11</w:t>
            </w:r>
          </w:hyperlink>
          <w:r w:rsidDel="00000000" w:rsidR="00000000" w:rsidRPr="00000000">
            <w:rPr>
              <w:rtl w:val="0"/>
            </w:rPr>
          </w:r>
        </w:p>
        <w:p w:rsidR="00000000" w:rsidDel="00000000" w:rsidP="00000000" w:rsidRDefault="00000000" w:rsidRPr="00000000" w14:paraId="00000020">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1">
      <w:pPr>
        <w:rPr>
          <w:i w:val="1"/>
          <w:iCs w:val="1"/>
          <w:color w:val="000000"/>
          <w:sz w:val="28"/>
          <w:szCs w:val="28"/>
        </w:rPr>
      </w:pPr>
      <w:r w:rsidDel="00000000" w:rsidR="00000000" w:rsidRPr="00000000">
        <w:rPr>
          <w:rtl w:val="0"/>
        </w:rPr>
      </w:r>
    </w:p>
    <w:p w:rsidR="00000000" w:rsidDel="00000000" w:rsidP="00000000" w:rsidRDefault="00000000" w:rsidRPr="00000000" w14:paraId="00000022">
      <w:pPr>
        <w:rPr>
          <w:i w:val="1"/>
          <w:iCs w:val="1"/>
          <w:color w:val="000000"/>
          <w:sz w:val="28"/>
          <w:szCs w:val="28"/>
        </w:rPr>
      </w:pPr>
      <w:r w:rsidDel="00000000" w:rsidR="00000000" w:rsidRPr="00000000">
        <w:rPr>
          <w:rtl w:val="0"/>
        </w:rPr>
      </w:r>
    </w:p>
    <w:p w:rsidR="00000000" w:rsidDel="00000000" w:rsidP="00000000" w:rsidRDefault="00000000" w:rsidRPr="00000000" w14:paraId="00000023">
      <w:pPr>
        <w:rPr>
          <w:i w:val="1"/>
          <w:iCs w:val="1"/>
          <w:color w:val="000000"/>
          <w:sz w:val="28"/>
          <w:szCs w:val="28"/>
        </w:rPr>
      </w:pPr>
      <w:r w:rsidDel="00000000" w:rsidR="00000000" w:rsidRPr="00000000">
        <w:rPr>
          <w:rtl w:val="0"/>
        </w:rPr>
      </w:r>
    </w:p>
    <w:p w:rsidR="00000000" w:rsidDel="00000000" w:rsidP="00000000" w:rsidRDefault="00000000" w:rsidRPr="00000000" w14:paraId="00000024">
      <w:pPr>
        <w:rPr>
          <w:i w:val="1"/>
          <w:iCs w:val="1"/>
          <w:color w:val="000000"/>
          <w:sz w:val="28"/>
          <w:szCs w:val="28"/>
        </w:rPr>
      </w:pPr>
      <w:r w:rsidDel="00000000" w:rsidR="00000000" w:rsidRPr="00000000">
        <w:rPr>
          <w:rtl w:val="0"/>
        </w:rPr>
      </w:r>
    </w:p>
    <w:p w:rsidR="00000000" w:rsidDel="00000000" w:rsidP="00000000" w:rsidRDefault="00000000" w:rsidRPr="00000000" w14:paraId="00000025">
      <w:pPr>
        <w:rPr>
          <w:i w:val="1"/>
          <w:iCs w:val="1"/>
          <w:color w:val="000000"/>
          <w:sz w:val="28"/>
          <w:szCs w:val="28"/>
        </w:rPr>
      </w:pPr>
      <w:r w:rsidDel="00000000" w:rsidR="00000000" w:rsidRPr="00000000">
        <w:rPr>
          <w:rtl w:val="0"/>
        </w:rPr>
      </w:r>
    </w:p>
    <w:p w:rsidR="00000000" w:rsidDel="00000000" w:rsidP="00000000" w:rsidRDefault="00000000" w:rsidRPr="00000000" w14:paraId="00000026">
      <w:pPr>
        <w:rPr>
          <w:i w:val="1"/>
          <w:iCs w:val="1"/>
          <w:color w:val="000000"/>
          <w:sz w:val="28"/>
          <w:szCs w:val="28"/>
        </w:rPr>
      </w:pPr>
      <w:r w:rsidDel="00000000" w:rsidR="00000000" w:rsidRPr="00000000">
        <w:rPr>
          <w:rtl w:val="0"/>
        </w:rPr>
      </w:r>
    </w:p>
    <w:p w:rsidR="00000000" w:rsidDel="00000000" w:rsidP="00000000" w:rsidRDefault="00000000" w:rsidRPr="00000000" w14:paraId="00000027">
      <w:pPr>
        <w:rPr>
          <w:i w:val="1"/>
          <w:iCs w:val="1"/>
          <w:color w:val="000000"/>
          <w:sz w:val="28"/>
          <w:szCs w:val="28"/>
        </w:rPr>
      </w:pPr>
      <w:r w:rsidDel="00000000" w:rsidR="00000000" w:rsidRPr="00000000">
        <w:rPr>
          <w:rtl w:val="0"/>
        </w:rPr>
      </w:r>
    </w:p>
    <w:p w:rsidR="00000000" w:rsidDel="00000000" w:rsidP="00000000" w:rsidRDefault="00000000" w:rsidRPr="00000000" w14:paraId="00000028">
      <w:pPr>
        <w:rPr>
          <w:i w:val="1"/>
          <w:iCs w:val="1"/>
          <w:color w:val="000000"/>
          <w:sz w:val="28"/>
          <w:szCs w:val="28"/>
        </w:rPr>
      </w:pPr>
      <w:r w:rsidDel="00000000" w:rsidR="00000000" w:rsidRPr="00000000">
        <w:rPr>
          <w:rtl w:val="0"/>
        </w:rPr>
      </w:r>
    </w:p>
    <w:p w:rsidR="00000000" w:rsidDel="00000000" w:rsidP="00000000" w:rsidRDefault="00000000" w:rsidRPr="00000000" w14:paraId="00000029">
      <w:pPr>
        <w:rPr>
          <w:i w:val="1"/>
          <w:iCs w:val="1"/>
          <w:color w:val="000000"/>
          <w:sz w:val="28"/>
          <w:szCs w:val="28"/>
        </w:rPr>
      </w:pPr>
      <w:r w:rsidDel="00000000" w:rsidR="00000000" w:rsidRPr="00000000">
        <w:rPr>
          <w:rtl w:val="0"/>
        </w:rPr>
      </w:r>
    </w:p>
    <w:p w:rsidR="00000000" w:rsidDel="00000000" w:rsidP="00000000" w:rsidRDefault="00000000" w:rsidRPr="00000000" w14:paraId="0000002A">
      <w:pPr>
        <w:rPr>
          <w:i w:val="1"/>
          <w:iCs w:val="1"/>
          <w:color w:val="000000"/>
          <w:sz w:val="28"/>
          <w:szCs w:val="28"/>
        </w:rPr>
      </w:pPr>
      <w:r w:rsidDel="00000000" w:rsidR="00000000" w:rsidRPr="00000000">
        <w:rPr>
          <w:rtl w:val="0"/>
        </w:rPr>
      </w:r>
    </w:p>
    <w:p w:rsidR="00000000" w:rsidDel="00000000" w:rsidP="00000000" w:rsidRDefault="00000000" w:rsidRPr="00000000" w14:paraId="0000002B">
      <w:pPr>
        <w:pStyle w:val="Heading1"/>
        <w:numPr>
          <w:ilvl w:val="0"/>
          <w:numId w:val="1"/>
        </w:numPr>
        <w:ind w:left="720" w:hanging="360"/>
        <w:rPr/>
      </w:pPr>
      <w:bookmarkStart w:colFirst="0" w:colLast="0" w:name="_heading=h.y0j6o5rkyrin" w:id="0"/>
      <w:bookmarkEnd w:id="0"/>
      <w:r w:rsidDel="00000000" w:rsidR="00000000" w:rsidRPr="00000000">
        <w:rPr>
          <w:rtl w:val="0"/>
        </w:rPr>
        <w:t xml:space="preserve">OBRAZLOŽENJE OPĆEG DIJELA IZVRŠENJA</w:t>
      </w:r>
    </w:p>
    <w:p w:rsidR="00000000" w:rsidDel="00000000" w:rsidP="00000000" w:rsidRDefault="00000000" w:rsidRPr="00000000" w14:paraId="0000002C">
      <w:pPr>
        <w:pStyle w:val="Heading2"/>
        <w:numPr>
          <w:ilvl w:val="1"/>
          <w:numId w:val="1"/>
        </w:numPr>
        <w:ind w:left="1080" w:hanging="720"/>
        <w:rPr>
          <w:sz w:val="40"/>
          <w:szCs w:val="40"/>
        </w:rPr>
      </w:pPr>
      <w:bookmarkStart w:colFirst="0" w:colLast="0" w:name="_heading=h.ixj3jz30r9cp" w:id="1"/>
      <w:bookmarkEnd w:id="1"/>
      <w:r w:rsidDel="00000000" w:rsidR="00000000" w:rsidRPr="00000000">
        <w:rPr>
          <w:rtl w:val="0"/>
        </w:rPr>
        <w:t xml:space="preserve">PRIHODI I PRIMICI</w:t>
      </w:r>
      <w:r w:rsidDel="00000000" w:rsidR="00000000" w:rsidRPr="00000000">
        <w:rPr>
          <w:rtl w:val="0"/>
        </w:rPr>
      </w:r>
    </w:p>
    <w:p w:rsidR="00000000" w:rsidDel="00000000" w:rsidP="00000000" w:rsidRDefault="00000000" w:rsidRPr="00000000" w14:paraId="0000002D">
      <w:pPr>
        <w:jc w:val="both"/>
        <w:rPr>
          <w:color w:val="000000"/>
        </w:rPr>
      </w:pPr>
      <w:r w:rsidDel="00000000" w:rsidR="00000000" w:rsidRPr="00000000">
        <w:rPr>
          <w:color w:val="000000"/>
          <w:rtl w:val="0"/>
        </w:rPr>
        <w:t xml:space="preserve">Ukupno planirani prihodi poslovanja za 2025. godinu iznosili su 1.064.600,00 EUR, a izvršeni su u iznosu od 978.506,28 EUR.</w:t>
      </w:r>
    </w:p>
    <w:p w:rsidR="00000000" w:rsidDel="00000000" w:rsidP="00000000" w:rsidRDefault="00000000" w:rsidRPr="00000000" w14:paraId="0000002E">
      <w:pPr>
        <w:jc w:val="center"/>
        <w:rPr>
          <w:color w:val="000000"/>
          <w:sz w:val="20"/>
          <w:szCs w:val="20"/>
        </w:rPr>
      </w:pPr>
      <w:r w:rsidDel="00000000" w:rsidR="00000000" w:rsidRPr="00000000">
        <w:rPr>
          <w:color w:val="000000"/>
        </w:rPr>
        <w:drawing>
          <wp:inline distB="0" distT="0" distL="0" distR="0">
            <wp:extent cx="5486400" cy="3695896"/>
            <wp:docPr id="1334583580" name=""/>
            <a:graphic>
              <a:graphicData uri="http://schemas.openxmlformats.org/drawingml/2006/chart">
                <c:chart r:id="rId7"/>
              </a:graphicData>
            </a:graphic>
          </wp:inline>
        </w:drawing>
      </w:r>
      <w:r w:rsidDel="00000000" w:rsidR="00000000" w:rsidRPr="00000000">
        <w:rPr>
          <w:color w:val="000000"/>
          <w:rtl w:val="0"/>
        </w:rPr>
        <w:br w:type="textWrapping"/>
      </w:r>
      <w:r w:rsidDel="00000000" w:rsidR="00000000" w:rsidRPr="00000000">
        <w:rPr>
          <w:color w:val="000000"/>
          <w:sz w:val="20"/>
          <w:szCs w:val="20"/>
          <w:rtl w:val="0"/>
        </w:rPr>
        <w:t xml:space="preserve">Grafikon 1. Prihodi i primici 2025.</w:t>
      </w:r>
    </w:p>
    <w:p w:rsidR="00000000" w:rsidDel="00000000" w:rsidP="00000000" w:rsidRDefault="00000000" w:rsidRPr="00000000" w14:paraId="0000002F">
      <w:pPr>
        <w:rPr>
          <w:color w:val="000000"/>
          <w:sz w:val="23"/>
          <w:szCs w:val="23"/>
        </w:rPr>
      </w:pPr>
      <w:r w:rsidDel="00000000" w:rsidR="00000000" w:rsidRPr="00000000">
        <w:rPr>
          <w:color w:val="000000"/>
          <w:sz w:val="23"/>
          <w:szCs w:val="23"/>
          <w:rtl w:val="0"/>
        </w:rPr>
        <w:t xml:space="preserve">Najznačajniju skupinu prihoda, prema planiranim i izvršenim iznosima, čine prihodi iz općeg izvora financiranja – proračuna Grada Zagreba. Ovi prihodi namijenjeni su financiranju rashoda za zaposlene, materijalnih troškova te provedbi programskih ugovora, a u 2025. godini čine 84,82 % ukupno ostvarenih prihoda.</w:t>
      </w:r>
    </w:p>
    <w:p w:rsidR="00000000" w:rsidDel="00000000" w:rsidP="00000000" w:rsidRDefault="00000000" w:rsidRPr="00000000" w14:paraId="00000030">
      <w:pPr>
        <w:rPr>
          <w:color w:val="000000"/>
          <w:sz w:val="23"/>
          <w:szCs w:val="23"/>
        </w:rPr>
      </w:pPr>
      <w:r w:rsidDel="00000000" w:rsidR="00000000" w:rsidRPr="00000000">
        <w:rPr>
          <w:color w:val="000000"/>
          <w:sz w:val="23"/>
          <w:szCs w:val="23"/>
          <w:rtl w:val="0"/>
        </w:rPr>
        <w:t xml:space="preserve"> </w:t>
      </w:r>
    </w:p>
    <w:p w:rsidR="00000000" w:rsidDel="00000000" w:rsidP="00000000" w:rsidRDefault="00000000" w:rsidRPr="00000000" w14:paraId="00000031">
      <w:pPr>
        <w:rPr>
          <w:color w:val="000000"/>
          <w:sz w:val="23"/>
          <w:szCs w:val="23"/>
        </w:rPr>
      </w:pPr>
      <w:r w:rsidDel="00000000" w:rsidR="00000000" w:rsidRPr="00000000">
        <w:rPr>
          <w:color w:val="000000"/>
          <w:sz w:val="23"/>
          <w:szCs w:val="23"/>
          <w:rtl w:val="0"/>
        </w:rPr>
        <w:t xml:space="preserve">Sljedeća skupina značajnih prihoda su vlastiti prihodi čiji udio iznosi 13,98% u ukupnim prihodima. Vlastiti prihodi ostvareni su kroz najam prostora, provedbu edukativnih i kulturnih programa, radionice, članarine i prihode od ulaznica. Tijekom 2025. godine zabilježen je stabilan rast od 32% vlastitih prihoda u odnosu na prethodnu godinu, što potvrđuje povećani opseg programskih aktivnosti te jačanje tržišne i operativne kapacitiranosti ustanove.</w:t>
      </w:r>
    </w:p>
    <w:p w:rsidR="00000000" w:rsidDel="00000000" w:rsidP="00000000" w:rsidRDefault="00000000" w:rsidRPr="00000000" w14:paraId="00000032">
      <w:pPr>
        <w:rPr/>
      </w:pPr>
      <w:r w:rsidDel="00000000" w:rsidR="00000000" w:rsidRPr="00000000">
        <w:rPr>
          <w:color w:val="000000"/>
          <w:sz w:val="23"/>
          <w:szCs w:val="23"/>
          <w:rtl w:val="0"/>
        </w:rPr>
        <w:t xml:space="preserve">Na izvoru 52 planirani su prijenosi iz drugih proračuna te se odnose na prihode po ugovorima za projekt Spark. Tijekom 2025. godine Centar kulture Ribnjak sudjelovao je u provedbi pilot-projekta </w:t>
      </w:r>
      <w:r w:rsidDel="00000000" w:rsidR="00000000" w:rsidRPr="00000000">
        <w:rPr>
          <w:b w:val="1"/>
          <w:bCs w:val="1"/>
          <w:color w:val="000000"/>
          <w:sz w:val="23"/>
          <w:szCs w:val="23"/>
          <w:rtl w:val="0"/>
        </w:rPr>
        <w:t xml:space="preserve">SPARK</w:t>
      </w:r>
      <w:r w:rsidDel="00000000" w:rsidR="00000000" w:rsidRPr="00000000">
        <w:rPr>
          <w:color w:val="000000"/>
          <w:sz w:val="23"/>
          <w:szCs w:val="23"/>
          <w:rtl w:val="0"/>
        </w:rPr>
        <w:t xml:space="preserve">, inicijative Grada Zagreba usmjerene na osiguravanje besplatnih kulturnih, edukativnih i sportskih aktivnosti za djecu predškolske i rane školske dobi. U okviru projekta Centar je proveo program „Radost s Ribnjaka“, koji je obuhvatio ciklus umjetničko-edukativnih radionica namijenjenih djeci. Projekt je realiziran u skladu s planom i važećim financijskim propisima. </w:t>
      </w:r>
      <w:r w:rsidDel="00000000" w:rsidR="00000000" w:rsidRPr="00000000">
        <w:rPr>
          <w:rtl w:val="0"/>
        </w:rPr>
        <w:t xml:space="preserve">U 2025. godini iskazan je značajan iznos prenesenog viška iz 2024. godine, prvenstveno vezan uz projekt SPARK. Sredstva su zaprimljena krajem 2024. godine, i to 28.11.2024. u iznosu 16.700,00 EUR te 20.12.2024. u iznosu 33.400,00 EUR, dok su rashodi projekta pretežno realizirani tijekom 2025. godine. Po uspješnom okončanju projekta, dana 11.12.2025. zaprimljena je završna rata u iznosu od 16.600,00 EUR.</w:t>
      </w:r>
    </w:p>
    <w:p w:rsidR="00000000" w:rsidDel="00000000" w:rsidP="00000000" w:rsidRDefault="00000000" w:rsidRPr="00000000" w14:paraId="00000033">
      <w:pPr>
        <w:rPr/>
      </w:pPr>
      <w:r w:rsidDel="00000000" w:rsidR="00000000" w:rsidRPr="00000000">
        <w:rPr>
          <w:rtl w:val="0"/>
        </w:rPr>
        <w:t xml:space="preserve">Prihodi iz izvora 61 odnose se na donacijska sredstva povezana s projektom „Alternativna nastava“, dobitnikom prestižne međunarodne nagrade za društvene inovacije SozialMarie 2025. u iznosu od 2.000,00 EUR. Projekt je nagrađen zbog inovativnog pristupa i društvene učinkovitosti u konkurenciji 401 prijave, a svečana dodjela održana je u Beču.</w:t>
      </w:r>
    </w:p>
    <w:p w:rsidR="00000000" w:rsidDel="00000000" w:rsidP="00000000" w:rsidRDefault="00000000" w:rsidRPr="00000000" w14:paraId="00000034">
      <w:pPr>
        <w:rPr/>
      </w:pPr>
      <w:r w:rsidDel="00000000" w:rsidR="00000000" w:rsidRPr="00000000">
        <w:rPr>
          <w:rtl w:val="0"/>
        </w:rPr>
        <w:t xml:space="preserve">U financijskom izvještajnom razdoblju evidentiran je iznos od 330,00 EUR, koji se odnosi na namjensku donaciju za pokriće dijela troškova smještaja vezanih uz sudjelovanje predstavnika Centra na dodjeli nagrade. Sredstva su utrošena u skladu s namjenom i važećim financijskim propisima.</w:t>
      </w:r>
    </w:p>
    <w:p w:rsidR="00000000" w:rsidDel="00000000" w:rsidP="00000000" w:rsidRDefault="00000000" w:rsidRPr="00000000" w14:paraId="00000035">
      <w:pPr>
        <w:rPr/>
      </w:pPr>
      <w:r w:rsidDel="00000000" w:rsidR="00000000" w:rsidRPr="00000000">
        <w:rPr>
          <w:rtl w:val="0"/>
        </w:rPr>
        <w:t xml:space="preserve">Prihodi iz izvora 43 odnose se na namjenska sredstva zaprimljena dana 19.12.2025. temeljem odštetnog zahtjeva br. ST09-4311/25 od 19.7.2025., u ukupnom iznosu od 676,51 EUR. Sredstva su evidentirana kao namjenski prihod te su utrošena/isplanirana za pokriće troškova nastalih uslijed predmetne štete, u skladu s njihovom svrhom i važećim računovodstvenim propisima.</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pStyle w:val="Heading2"/>
        <w:numPr>
          <w:ilvl w:val="1"/>
          <w:numId w:val="1"/>
        </w:numPr>
        <w:ind w:left="1080" w:hanging="720"/>
        <w:rPr/>
      </w:pPr>
      <w:bookmarkStart w:colFirst="0" w:colLast="0" w:name="_heading=h.8x3pzj7xo8mu" w:id="2"/>
      <w:bookmarkEnd w:id="2"/>
      <w:r w:rsidDel="00000000" w:rsidR="00000000" w:rsidRPr="00000000">
        <w:rPr>
          <w:rtl w:val="0"/>
        </w:rPr>
        <w:t xml:space="preserve">RASHODI I IZDACI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Ukupno planirani rashodi poslovanja za 2025. godinu iznosili su 1.064.600,00 EUR, a izvršeni su u iznosu od 1.026.084,23 EUR (indeks odstupanja 96,38%).</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bl>
      <w:tblPr>
        <w:tblStyle w:val="Table1"/>
        <w:tblW w:w="6264.0" w:type="dxa"/>
        <w:jc w:val="center"/>
        <w:tblLayout w:type="fixed"/>
        <w:tblLook w:val="0400"/>
      </w:tblPr>
      <w:tblGrid>
        <w:gridCol w:w="940"/>
        <w:gridCol w:w="2662"/>
        <w:gridCol w:w="2662"/>
        <w:tblGridChange w:id="0">
          <w:tblGrid>
            <w:gridCol w:w="940"/>
            <w:gridCol w:w="2662"/>
            <w:gridCol w:w="2662"/>
          </w:tblGrid>
        </w:tblGridChange>
      </w:tblGrid>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B">
            <w:pPr>
              <w:jc w:val="center"/>
              <w:rPr>
                <w:color w:val="000000"/>
              </w:rPr>
            </w:pPr>
            <w:r w:rsidDel="00000000" w:rsidR="00000000" w:rsidRPr="00000000">
              <w:rPr>
                <w:color w:val="000000"/>
                <w:rtl w:val="0"/>
              </w:rPr>
              <w:t xml:space="preserve">Izvor</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C">
            <w:pPr>
              <w:jc w:val="center"/>
              <w:rPr>
                <w:color w:val="000000"/>
              </w:rPr>
            </w:pPr>
            <w:r w:rsidDel="00000000" w:rsidR="00000000" w:rsidRPr="00000000">
              <w:rPr>
                <w:color w:val="000000"/>
                <w:rtl w:val="0"/>
              </w:rPr>
              <w:t xml:space="preserve">Plan 2025.</w:t>
            </w:r>
          </w:p>
        </w:tc>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D">
            <w:pPr>
              <w:jc w:val="center"/>
              <w:rPr>
                <w:color w:val="000000"/>
              </w:rPr>
            </w:pPr>
            <w:r w:rsidDel="00000000" w:rsidR="00000000" w:rsidRPr="00000000">
              <w:rPr>
                <w:color w:val="000000"/>
                <w:rtl w:val="0"/>
              </w:rPr>
              <w:t xml:space="preserve">Izvršenje 2025.</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3E">
            <w:pPr>
              <w:jc w:val="center"/>
              <w:rPr>
                <w:color w:val="000000"/>
              </w:rPr>
            </w:pPr>
            <w:r w:rsidDel="00000000" w:rsidR="00000000" w:rsidRPr="00000000">
              <w:rPr>
                <w:color w:val="000000"/>
                <w:rtl w:val="0"/>
              </w:rPr>
              <w:t xml:space="preserve">11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3F">
            <w:pPr>
              <w:jc w:val="center"/>
              <w:rPr>
                <w:color w:val="000000"/>
              </w:rPr>
            </w:pPr>
            <w:r w:rsidDel="00000000" w:rsidR="00000000" w:rsidRPr="00000000">
              <w:rPr>
                <w:color w:val="000000"/>
                <w:rtl w:val="0"/>
              </w:rPr>
              <w:t xml:space="preserve">938.100,00</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40">
            <w:pPr>
              <w:jc w:val="center"/>
              <w:rPr>
                <w:color w:val="000000"/>
              </w:rPr>
            </w:pPr>
            <w:r w:rsidDel="00000000" w:rsidR="00000000" w:rsidRPr="00000000">
              <w:rPr>
                <w:color w:val="000000"/>
                <w:rtl w:val="0"/>
              </w:rPr>
              <w:t xml:space="preserve">869.931,99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1">
            <w:pPr>
              <w:jc w:val="center"/>
              <w:rPr>
                <w:color w:val="000000"/>
              </w:rPr>
            </w:pPr>
            <w:r w:rsidDel="00000000" w:rsidR="00000000" w:rsidRPr="00000000">
              <w:rPr>
                <w:color w:val="000000"/>
                <w:rtl w:val="0"/>
              </w:rPr>
              <w:t xml:space="preserve">31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2">
            <w:pPr>
              <w:jc w:val="center"/>
              <w:rPr>
                <w:color w:val="000000"/>
              </w:rPr>
            </w:pPr>
            <w:r w:rsidDel="00000000" w:rsidR="00000000" w:rsidRPr="00000000">
              <w:rPr>
                <w:color w:val="000000"/>
                <w:rtl w:val="0"/>
              </w:rPr>
              <w:t xml:space="preserve">126.500,00 </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43">
            <w:pPr>
              <w:jc w:val="center"/>
              <w:rPr>
                <w:color w:val="000000"/>
              </w:rPr>
            </w:pPr>
            <w:r w:rsidDel="00000000" w:rsidR="00000000" w:rsidRPr="00000000">
              <w:rPr>
                <w:color w:val="000000"/>
                <w:rtl w:val="0"/>
              </w:rPr>
              <w:t xml:space="preserve">131.125,20 </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4">
            <w:pPr>
              <w:jc w:val="center"/>
              <w:rPr>
                <w:color w:val="000000"/>
              </w:rPr>
            </w:pPr>
            <w:r w:rsidDel="00000000" w:rsidR="00000000" w:rsidRPr="00000000">
              <w:rPr>
                <w:color w:val="000000"/>
                <w:rtl w:val="0"/>
              </w:rPr>
              <w:t xml:space="preserve">52</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5">
            <w:pPr>
              <w:jc w:val="center"/>
              <w:rPr>
                <w:color w:val="000000"/>
              </w:rPr>
            </w:pPr>
            <w:r w:rsidDel="00000000" w:rsidR="00000000" w:rsidRPr="00000000">
              <w:rPr>
                <w:color w:val="000000"/>
                <w:rtl w:val="0"/>
              </w:rPr>
              <w:t xml:space="preserve">0,00 </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46">
            <w:pPr>
              <w:jc w:val="center"/>
              <w:rPr>
                <w:color w:val="000000"/>
              </w:rPr>
            </w:pPr>
            <w:r w:rsidDel="00000000" w:rsidR="00000000" w:rsidRPr="00000000">
              <w:rPr>
                <w:color w:val="000000"/>
                <w:rtl w:val="0"/>
              </w:rPr>
              <w:t xml:space="preserve">22.697,04</w:t>
            </w:r>
          </w:p>
        </w:tc>
      </w:tr>
      <w:tr>
        <w:trPr>
          <w:cantSplit w:val="0"/>
          <w:trHeight w:val="300" w:hRule="atLeast"/>
          <w:tblHeader w:val="0"/>
        </w:trPr>
        <w:tc>
          <w:tcPr>
            <w:tcBorders>
              <w:top w:color="000000" w:space="0" w:sz="0" w:val="nil"/>
              <w:left w:color="000000" w:space="0" w:sz="0" w:val="nil"/>
              <w:bottom w:color="000000" w:space="0" w:sz="0" w:val="nil"/>
              <w:right w:color="000000" w:space="0" w:sz="0" w:val="nil"/>
            </w:tcBorders>
            <w:vAlign w:val="bottom"/>
          </w:tcPr>
          <w:p w:rsidR="00000000" w:rsidDel="00000000" w:rsidP="00000000" w:rsidRDefault="00000000" w:rsidRPr="00000000" w14:paraId="00000047">
            <w:pPr>
              <w:jc w:val="center"/>
              <w:rPr>
                <w:color w:val="000000"/>
              </w:rPr>
            </w:pPr>
            <w:r w:rsidDel="00000000" w:rsidR="00000000" w:rsidRPr="00000000">
              <w:rPr>
                <w:color w:val="000000"/>
                <w:rtl w:val="0"/>
              </w:rPr>
              <w:t xml:space="preserve">61</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8">
            <w:pPr>
              <w:jc w:val="center"/>
              <w:rPr>
                <w:color w:val="000000"/>
              </w:rPr>
            </w:pPr>
            <w:r w:rsidDel="00000000" w:rsidR="00000000" w:rsidRPr="00000000">
              <w:rPr>
                <w:color w:val="000000"/>
                <w:rtl w:val="0"/>
              </w:rPr>
              <w:t xml:space="preserve">0,00</w:t>
            </w:r>
          </w:p>
        </w:tc>
        <w:tc>
          <w:tcPr>
            <w:tcBorders>
              <w:top w:color="000000" w:space="0" w:sz="4" w:val="single"/>
              <w:left w:color="000000" w:space="0" w:sz="0" w:val="nil"/>
              <w:bottom w:color="000000" w:space="0" w:sz="4" w:val="single"/>
              <w:right w:color="000000" w:space="0" w:sz="4" w:val="single"/>
            </w:tcBorders>
            <w:vAlign w:val="bottom"/>
          </w:tcPr>
          <w:p w:rsidR="00000000" w:rsidDel="00000000" w:rsidP="00000000" w:rsidRDefault="00000000" w:rsidRPr="00000000" w14:paraId="00000049">
            <w:pPr>
              <w:jc w:val="center"/>
              <w:rPr>
                <w:color w:val="000000"/>
              </w:rPr>
            </w:pPr>
            <w:r w:rsidDel="00000000" w:rsidR="00000000" w:rsidRPr="00000000">
              <w:rPr>
                <w:color w:val="000000"/>
                <w:rtl w:val="0"/>
              </w:rPr>
              <w:t xml:space="preserve">2.330,00</w:t>
            </w:r>
          </w:p>
        </w:tc>
      </w:tr>
    </w:tbl>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Tablica 1: Rashodi i izdaci 2025.</w:t>
      </w:r>
    </w:p>
    <w:p w:rsidR="00000000" w:rsidDel="00000000" w:rsidP="00000000" w:rsidRDefault="00000000" w:rsidRPr="00000000" w14:paraId="0000004B">
      <w:pPr>
        <w:jc w:val="center"/>
        <w:rPr>
          <w:sz w:val="20"/>
          <w:szCs w:val="20"/>
        </w:rPr>
      </w:pPr>
      <w:r w:rsidDel="00000000" w:rsidR="00000000" w:rsidRPr="00000000">
        <w:rPr/>
        <w:drawing>
          <wp:inline distB="0" distT="0" distL="0" distR="0">
            <wp:extent cx="5486400" cy="3200400"/>
            <wp:docPr id="1334583581" name=""/>
            <a:graphic>
              <a:graphicData uri="http://schemas.openxmlformats.org/drawingml/2006/chart">
                <c:chart r:id="rId8"/>
              </a:graphicData>
            </a:graphic>
          </wp:inline>
        </w:drawing>
      </w:r>
      <w:r w:rsidDel="00000000" w:rsidR="00000000" w:rsidRPr="00000000">
        <w:rPr>
          <w:rtl w:val="0"/>
        </w:rPr>
        <w:br w:type="textWrapping"/>
      </w:r>
      <w:r w:rsidDel="00000000" w:rsidR="00000000" w:rsidRPr="00000000">
        <w:rPr>
          <w:sz w:val="20"/>
          <w:szCs w:val="20"/>
          <w:rtl w:val="0"/>
        </w:rPr>
        <w:t xml:space="preserve">Grafikon 2. Struktura rashoda 2025.</w:t>
      </w:r>
    </w:p>
    <w:p w:rsidR="00000000" w:rsidDel="00000000" w:rsidP="00000000" w:rsidRDefault="00000000" w:rsidRPr="00000000" w14:paraId="0000004C">
      <w:pPr>
        <w:rPr/>
      </w:pPr>
      <w:r w:rsidDel="00000000" w:rsidR="00000000" w:rsidRPr="00000000">
        <w:rPr>
          <w:rtl w:val="0"/>
        </w:rPr>
        <w:t xml:space="preserve">Izvršenje na izvoru 52 odnosi se na provedbu programa „Radost s Ribnjaka“ u okviru pilot-projekta SPARK, realiziranog temeljem Sporazuma o suradnji između Gradskog ureda za obrazovanje, sport i mlade i Centra mladih Ribnjak.</w:t>
      </w:r>
    </w:p>
    <w:p w:rsidR="00000000" w:rsidDel="00000000" w:rsidP="00000000" w:rsidRDefault="00000000" w:rsidRPr="00000000" w14:paraId="0000004D">
      <w:pPr>
        <w:rPr/>
      </w:pPr>
      <w:r w:rsidDel="00000000" w:rsidR="00000000" w:rsidRPr="00000000">
        <w:rPr>
          <w:rtl w:val="0"/>
        </w:rPr>
        <w:t xml:space="preserve">Projekt je proveden u razdoblju rujan 2024. – kolovoz 2025., a programske aktivnosti završene su u lipnju 2025. godine. Realizacija je u potpunosti okončana te je projekt zaključen sukladno ugovorenim obvezama.</w:t>
      </w:r>
    </w:p>
    <w:p w:rsidR="00000000" w:rsidDel="00000000" w:rsidP="00000000" w:rsidRDefault="00000000" w:rsidRPr="00000000" w14:paraId="0000004E">
      <w:pPr>
        <w:rPr/>
      </w:pPr>
      <w:r w:rsidDel="00000000" w:rsidR="00000000" w:rsidRPr="00000000">
        <w:rPr>
          <w:rtl w:val="0"/>
        </w:rPr>
        <w:t xml:space="preserve">Tijekom 2025. godine zaprimljena je uplata u iznosu od 16.600,00 EUR, koja se odnosi na završnu ratu za provedbu programa. Ukupna vrijednost projekta iznosi 200.000,00 EUR, pri čemu je financiranje osigurano u omjeru 50 % iz proračuna Grada Zagreba i 50 % iz sredstava Ministarstva demografije i useljeništva.</w:t>
      </w:r>
    </w:p>
    <w:p w:rsidR="00000000" w:rsidDel="00000000" w:rsidP="00000000" w:rsidRDefault="00000000" w:rsidRPr="00000000" w14:paraId="0000004F">
      <w:pPr>
        <w:rPr/>
      </w:pPr>
      <w:r w:rsidDel="00000000" w:rsidR="00000000" w:rsidRPr="00000000">
        <w:rPr>
          <w:rtl w:val="0"/>
        </w:rPr>
        <w:t xml:space="preserve">Sva sredstva utrošena su namjenski i u skladu s odobrenim financijskim okvirom projekta.</w:t>
      </w:r>
    </w:p>
    <w:p w:rsidR="00000000" w:rsidDel="00000000" w:rsidP="00000000" w:rsidRDefault="00000000" w:rsidRPr="00000000" w14:paraId="00000050">
      <w:pPr>
        <w:pStyle w:val="Heading2"/>
        <w:numPr>
          <w:ilvl w:val="1"/>
          <w:numId w:val="1"/>
        </w:numPr>
        <w:ind w:left="1080" w:hanging="720"/>
        <w:rPr/>
      </w:pPr>
      <w:bookmarkStart w:colFirst="0" w:colLast="0" w:name="_heading=h.ymgy7wawiex" w:id="3"/>
      <w:bookmarkEnd w:id="3"/>
      <w:r w:rsidDel="00000000" w:rsidR="00000000" w:rsidRPr="00000000">
        <w:rPr>
          <w:rtl w:val="0"/>
        </w:rPr>
        <w:t xml:space="preserve">PRIJENOS SREDSTAVA IZ PRETHODNE I U SLJEDEĆU GODINU</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Ukupni višak  sredstava u 2026. godinu iznosi 12.958,18 EUR.</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Višak sredstva utrošit će se za pokrivanje troškova redovite djelatnosti Centra.</w:t>
      </w:r>
    </w:p>
    <w:p w:rsidR="00000000" w:rsidDel="00000000" w:rsidP="00000000" w:rsidRDefault="00000000" w:rsidRPr="00000000" w14:paraId="00000054">
      <w:pPr>
        <w:rPr>
          <w:sz w:val="20"/>
          <w:szCs w:val="20"/>
        </w:rPr>
      </w:pPr>
      <w:r w:rsidDel="00000000" w:rsidR="00000000" w:rsidRPr="00000000">
        <w:rPr>
          <w:rtl w:val="0"/>
        </w:rPr>
      </w:r>
    </w:p>
    <w:p w:rsidR="00000000" w:rsidDel="00000000" w:rsidP="00000000" w:rsidRDefault="00000000" w:rsidRPr="00000000" w14:paraId="00000055">
      <w:pPr>
        <w:pStyle w:val="Heading2"/>
        <w:numPr>
          <w:ilvl w:val="1"/>
          <w:numId w:val="1"/>
        </w:numPr>
        <w:ind w:left="1080" w:hanging="720"/>
        <w:rPr/>
      </w:pPr>
      <w:bookmarkStart w:colFirst="0" w:colLast="0" w:name="_heading=h.88ld11qotrfa" w:id="4"/>
      <w:bookmarkEnd w:id="4"/>
      <w:r w:rsidDel="00000000" w:rsidR="00000000" w:rsidRPr="00000000">
        <w:rPr>
          <w:rtl w:val="0"/>
        </w:rPr>
        <w:t xml:space="preserve">PODACI O STANJU NOVČANIH SREDSTAVA </w:t>
      </w:r>
    </w:p>
    <w:p w:rsidR="00000000" w:rsidDel="00000000" w:rsidP="00000000" w:rsidRDefault="00000000" w:rsidRPr="00000000" w14:paraId="00000056">
      <w:pPr>
        <w:spacing w:after="280" w:before="280" w:line="240" w:lineRule="auto"/>
        <w:rPr>
          <w:rFonts w:ascii="Calibri" w:cs="Calibri" w:eastAsia="Calibri" w:hAnsi="Calibri"/>
        </w:rPr>
      </w:pPr>
      <w:r w:rsidDel="00000000" w:rsidR="00000000" w:rsidRPr="00000000">
        <w:rPr>
          <w:rFonts w:ascii="Calibri" w:cs="Calibri" w:eastAsia="Calibri" w:hAnsi="Calibri"/>
          <w:rtl w:val="0"/>
        </w:rPr>
        <w:t xml:space="preserve">Na dan 01.01.2025. godine stanje novčanih sredstava iznosilo je 124.432,53 EUR, dok je na dan 31.12.2025. godine iznosilo 66.716,35 EUR.</w:t>
      </w:r>
    </w:p>
    <w:p w:rsidR="00000000" w:rsidDel="00000000" w:rsidP="00000000" w:rsidRDefault="00000000" w:rsidRPr="00000000" w14:paraId="00000057">
      <w:pPr>
        <w:spacing w:after="280" w:before="280" w:line="240" w:lineRule="auto"/>
        <w:rPr>
          <w:rFonts w:ascii="Calibri" w:cs="Calibri" w:eastAsia="Calibri" w:hAnsi="Calibri"/>
        </w:rPr>
      </w:pPr>
      <w:r w:rsidDel="00000000" w:rsidR="00000000" w:rsidRPr="00000000">
        <w:rPr>
          <w:rFonts w:ascii="Calibri" w:cs="Calibri" w:eastAsia="Calibri" w:hAnsi="Calibri"/>
          <w:rtl w:val="0"/>
        </w:rPr>
        <w:t xml:space="preserve">Smanjenje novčanih sredstava rezultat je vremenske dinamike izvršenja rashoda tijekom 2025. godine, osobito u dijelu provedbe projektnih aktivnosti za koje su sredstva zaprimljena koncem 2024. godine, dok je njihova realizacija izvršena tijekom 2025. godine. Navedeno smanjenje ne predstavlja poremećaj likvidnosti, već odražava planirano korištenje prethodno doznačenih namjenskih sredstava, uz uredno podmirivanje svih obveza i očuvanu financijsku stabilnost ustanove.</w:t>
      </w:r>
    </w:p>
    <w:p w:rsidR="00000000" w:rsidDel="00000000" w:rsidP="00000000" w:rsidRDefault="00000000" w:rsidRPr="00000000" w14:paraId="00000058">
      <w:pPr>
        <w:spacing w:after="280" w:before="280" w:line="240" w:lineRule="auto"/>
        <w:rPr>
          <w:rFonts w:ascii="Calibri" w:cs="Calibri" w:eastAsia="Calibri" w:hAnsi="Calibri"/>
        </w:rPr>
      </w:pPr>
      <w:r w:rsidDel="00000000" w:rsidR="00000000" w:rsidRPr="00000000">
        <w:rPr>
          <w:rFonts w:ascii="Calibri" w:cs="Calibri" w:eastAsia="Calibri" w:hAnsi="Calibri"/>
          <w:rtl w:val="0"/>
        </w:rPr>
        <w:t xml:space="preserve">Na dan 31.12.2025. godine Centar nema dospjelih nepodmirenih obveza, a sve obveze podmiruju se uredno u rokovima dospijeća, čime je osigurana likvidnost i financijska stabilnost poslovanja.</w:t>
      </w:r>
    </w:p>
    <w:p w:rsidR="00000000" w:rsidDel="00000000" w:rsidP="00000000" w:rsidRDefault="00000000" w:rsidRPr="00000000" w14:paraId="00000059">
      <w:pPr>
        <w:pStyle w:val="Heading1"/>
        <w:numPr>
          <w:ilvl w:val="0"/>
          <w:numId w:val="1"/>
        </w:numPr>
        <w:ind w:left="720" w:hanging="360"/>
        <w:rPr>
          <w:color w:val="000000"/>
        </w:rPr>
      </w:pPr>
      <w:bookmarkStart w:colFirst="0" w:colLast="0" w:name="_heading=h.k6r062cpmixp" w:id="5"/>
      <w:bookmarkEnd w:id="5"/>
      <w:r w:rsidDel="00000000" w:rsidR="00000000" w:rsidRPr="00000000">
        <w:rPr>
          <w:rtl w:val="0"/>
        </w:rPr>
        <w:t xml:space="preserve">OBRAZLOŽENJE POSEBNOG DIJELA IZVRŠENJA</w:t>
      </w:r>
      <w:r w:rsidDel="00000000" w:rsidR="00000000" w:rsidRPr="00000000">
        <w:rPr>
          <w:rtl w:val="0"/>
        </w:rPr>
      </w:r>
    </w:p>
    <w:p w:rsidR="00000000" w:rsidDel="00000000" w:rsidP="00000000" w:rsidRDefault="00000000" w:rsidRPr="00000000" w14:paraId="0000005A">
      <w:pPr>
        <w:pStyle w:val="Heading2"/>
        <w:numPr>
          <w:ilvl w:val="1"/>
          <w:numId w:val="1"/>
        </w:numPr>
        <w:ind w:left="1080" w:hanging="720"/>
        <w:rPr/>
      </w:pPr>
      <w:bookmarkStart w:colFirst="0" w:colLast="0" w:name="_heading=h.f173kcf5ai0j" w:id="6"/>
      <w:bookmarkEnd w:id="6"/>
      <w:r w:rsidDel="00000000" w:rsidR="00000000" w:rsidRPr="00000000">
        <w:rPr>
          <w:rtl w:val="0"/>
        </w:rPr>
        <w:t xml:space="preserve">Sažetak djelokruga rada proračunskog korisnika</w:t>
      </w:r>
    </w:p>
    <w:p w:rsidR="00000000" w:rsidDel="00000000" w:rsidP="00000000" w:rsidRDefault="00000000" w:rsidRPr="00000000" w14:paraId="0000005B">
      <w:pPr>
        <w:rPr/>
      </w:pPr>
      <w:r w:rsidDel="00000000" w:rsidR="00000000" w:rsidRPr="00000000">
        <w:rPr>
          <w:rtl w:val="0"/>
        </w:rPr>
        <w:t xml:space="preserve">Proračunski korisnik: Centar kulture Ribnjak </w:t>
        <w:br w:type="textWrapping"/>
        <w:t xml:space="preserve">Osnivači: GRAD ZAGREB </w:t>
        <w:br w:type="textWrapping"/>
        <w:t xml:space="preserve">Razdjel: 24 - Grad Zagreb Gradski ured za kulturu </w:t>
        <w:br w:type="textWrapping"/>
        <w:t xml:space="preserve">Glava: 2402 DJELATNOST KULTURE </w:t>
        <w:br w:type="textWrapping"/>
        <w:t xml:space="preserve">RKP: 24859 </w:t>
        <w:br w:type="textWrapping"/>
        <w:t xml:space="preserve">Pošta i mjesto:  ZAGREB, Park Ribnjak 1</w:t>
        <w:br w:type="textWrapping"/>
        <w:t xml:space="preserve">Oznaka razine: 21 </w:t>
        <w:br w:type="textWrapping"/>
        <w:t xml:space="preserve">OIB: 45058007791</w:t>
      </w:r>
    </w:p>
    <w:p w:rsidR="00000000" w:rsidDel="00000000" w:rsidP="00000000" w:rsidRDefault="00000000" w:rsidRPr="00000000" w14:paraId="0000005C">
      <w:pPr>
        <w:rPr/>
      </w:pPr>
      <w:r w:rsidDel="00000000" w:rsidR="00000000" w:rsidRPr="00000000">
        <w:rPr>
          <w:rtl w:val="0"/>
        </w:rPr>
        <w:t xml:space="preserve">Centar kulture Ribnjak obavlja djelatnosti sukladno aktu o osnivanju i važećim propisima iz područja kulture i obrazovanja. Djelatnosti se provode kroz redovite programe, projekte, radionice, javna događanja i suradnje s umjetnicima, ustanovama i organizacijama civilnog društva. U okviru registrirane djelatnosti Ustanova obavlja sljedeće poslove:</w:t>
      </w:r>
    </w:p>
    <w:p w:rsidR="00000000" w:rsidDel="00000000" w:rsidP="00000000" w:rsidRDefault="00000000" w:rsidRPr="00000000" w14:paraId="0000005D">
      <w:pPr>
        <w:numPr>
          <w:ilvl w:val="0"/>
          <w:numId w:val="2"/>
        </w:numPr>
        <w:ind w:left="720" w:hanging="360"/>
        <w:rPr/>
      </w:pPr>
      <w:r w:rsidDel="00000000" w:rsidR="00000000" w:rsidRPr="00000000">
        <w:rPr>
          <w:rtl w:val="0"/>
        </w:rPr>
        <w:t xml:space="preserve">organiziranje kazališnih, glazbenih, filmskih, estradnih i drugih kulturno-umjetničkih priredbi</w:t>
      </w:r>
    </w:p>
    <w:p w:rsidR="00000000" w:rsidDel="00000000" w:rsidP="00000000" w:rsidRDefault="00000000" w:rsidRPr="00000000" w14:paraId="0000005E">
      <w:pPr>
        <w:numPr>
          <w:ilvl w:val="0"/>
          <w:numId w:val="2"/>
        </w:numPr>
        <w:ind w:left="720" w:hanging="360"/>
        <w:rPr/>
      </w:pPr>
      <w:r w:rsidDel="00000000" w:rsidR="00000000" w:rsidRPr="00000000">
        <w:rPr>
          <w:rtl w:val="0"/>
        </w:rPr>
        <w:t xml:space="preserve">izvođenje programa sa sadržajem iz područja kulture i obrazovanja za sve dobne skupine</w:t>
      </w:r>
    </w:p>
    <w:p w:rsidR="00000000" w:rsidDel="00000000" w:rsidP="00000000" w:rsidRDefault="00000000" w:rsidRPr="00000000" w14:paraId="0000005F">
      <w:pPr>
        <w:numPr>
          <w:ilvl w:val="0"/>
          <w:numId w:val="2"/>
        </w:numPr>
        <w:ind w:left="720" w:hanging="360"/>
        <w:rPr/>
      </w:pPr>
      <w:r w:rsidDel="00000000" w:rsidR="00000000" w:rsidRPr="00000000">
        <w:rPr>
          <w:rtl w:val="0"/>
        </w:rPr>
        <w:t xml:space="preserve">organiziranje izvanškolskih aktivnosti za djecu i mlade iz područja književnosti, kazališne, glazbene, plesne i likovne djelatnosti</w:t>
      </w:r>
    </w:p>
    <w:p w:rsidR="00000000" w:rsidDel="00000000" w:rsidP="00000000" w:rsidRDefault="00000000" w:rsidRPr="00000000" w14:paraId="00000060">
      <w:pPr>
        <w:numPr>
          <w:ilvl w:val="0"/>
          <w:numId w:val="2"/>
        </w:numPr>
        <w:ind w:left="720" w:hanging="360"/>
        <w:rPr/>
      </w:pPr>
      <w:r w:rsidDel="00000000" w:rsidR="00000000" w:rsidRPr="00000000">
        <w:rPr>
          <w:rtl w:val="0"/>
        </w:rPr>
        <w:t xml:space="preserve">organiziranje zabavnih programa za djecu, mlade i odrasle</w:t>
      </w:r>
    </w:p>
    <w:p w:rsidR="00000000" w:rsidDel="00000000" w:rsidP="00000000" w:rsidRDefault="00000000" w:rsidRPr="00000000" w14:paraId="00000061">
      <w:pPr>
        <w:numPr>
          <w:ilvl w:val="0"/>
          <w:numId w:val="2"/>
        </w:numPr>
        <w:ind w:left="720" w:hanging="360"/>
        <w:rPr/>
      </w:pPr>
      <w:r w:rsidDel="00000000" w:rsidR="00000000" w:rsidRPr="00000000">
        <w:rPr>
          <w:rtl w:val="0"/>
        </w:rPr>
        <w:t xml:space="preserve">organiziranje poduke iz ritmike i plesa</w:t>
      </w:r>
    </w:p>
    <w:p w:rsidR="00000000" w:rsidDel="00000000" w:rsidP="00000000" w:rsidRDefault="00000000" w:rsidRPr="00000000" w14:paraId="00000062">
      <w:pPr>
        <w:numPr>
          <w:ilvl w:val="0"/>
          <w:numId w:val="2"/>
        </w:numPr>
        <w:ind w:left="720" w:hanging="360"/>
        <w:rPr/>
      </w:pPr>
      <w:r w:rsidDel="00000000" w:rsidR="00000000" w:rsidRPr="00000000">
        <w:rPr>
          <w:rtl w:val="0"/>
        </w:rPr>
        <w:t xml:space="preserve">obavljanje knjižnične i čitalačke djelatnosti</w:t>
      </w:r>
    </w:p>
    <w:p w:rsidR="00000000" w:rsidDel="00000000" w:rsidP="00000000" w:rsidRDefault="00000000" w:rsidRPr="00000000" w14:paraId="00000063">
      <w:pPr>
        <w:numPr>
          <w:ilvl w:val="0"/>
          <w:numId w:val="2"/>
        </w:numPr>
        <w:ind w:left="720" w:hanging="360"/>
        <w:rPr/>
      </w:pPr>
      <w:r w:rsidDel="00000000" w:rsidR="00000000" w:rsidRPr="00000000">
        <w:rPr>
          <w:rtl w:val="0"/>
        </w:rPr>
        <w:t xml:space="preserve">javno prikazivanje audiovizualnih djela</w:t>
      </w:r>
    </w:p>
    <w:p w:rsidR="00000000" w:rsidDel="00000000" w:rsidP="00000000" w:rsidRDefault="00000000" w:rsidRPr="00000000" w14:paraId="00000064">
      <w:pPr>
        <w:numPr>
          <w:ilvl w:val="0"/>
          <w:numId w:val="2"/>
        </w:numPr>
        <w:ind w:left="720" w:hanging="360"/>
        <w:rPr/>
      </w:pPr>
      <w:r w:rsidDel="00000000" w:rsidR="00000000" w:rsidRPr="00000000">
        <w:rPr>
          <w:rtl w:val="0"/>
        </w:rPr>
        <w:t xml:space="preserve">obavljanje galerijske djelatnosti</w:t>
      </w:r>
    </w:p>
    <w:p w:rsidR="00000000" w:rsidDel="00000000" w:rsidP="00000000" w:rsidRDefault="00000000" w:rsidRPr="00000000" w14:paraId="00000065">
      <w:pPr>
        <w:numPr>
          <w:ilvl w:val="0"/>
          <w:numId w:val="2"/>
        </w:numPr>
        <w:ind w:left="720" w:hanging="360"/>
        <w:rPr/>
      </w:pPr>
      <w:r w:rsidDel="00000000" w:rsidR="00000000" w:rsidRPr="00000000">
        <w:rPr>
          <w:rtl w:val="0"/>
        </w:rPr>
        <w:t xml:space="preserve">obavljanje nakladničke djelatnosti</w:t>
      </w:r>
    </w:p>
    <w:p w:rsidR="00000000" w:rsidDel="00000000" w:rsidP="00000000" w:rsidRDefault="00000000" w:rsidRPr="00000000" w14:paraId="00000066">
      <w:pPr>
        <w:pStyle w:val="Heading2"/>
        <w:numPr>
          <w:ilvl w:val="1"/>
          <w:numId w:val="1"/>
        </w:numPr>
        <w:ind w:left="1080" w:hanging="720"/>
        <w:rPr/>
      </w:pPr>
      <w:bookmarkStart w:colFirst="0" w:colLast="0" w:name="_heading=h.tvq2n25c5bvh" w:id="7"/>
      <w:bookmarkEnd w:id="7"/>
      <w:r w:rsidDel="00000000" w:rsidR="00000000" w:rsidRPr="00000000">
        <w:rPr>
          <w:rtl w:val="0"/>
        </w:rPr>
        <w:t xml:space="preserve">Zakonske i druge podloge za provedbu programa</w:t>
      </w:r>
    </w:p>
    <w:p w:rsidR="00000000" w:rsidDel="00000000" w:rsidP="00000000" w:rsidRDefault="00000000" w:rsidRPr="00000000" w14:paraId="00000067">
      <w:pPr>
        <w:rPr/>
      </w:pPr>
      <w:r w:rsidDel="00000000" w:rsidR="00000000" w:rsidRPr="00000000">
        <w:rPr>
          <w:rtl w:val="0"/>
        </w:rPr>
        <w:t xml:space="preserve">Program rada i financijsko poslovanje Centra mladih Ribnjak temelje se na sljedećim propisima:</w:t>
      </w:r>
    </w:p>
    <w:p w:rsidR="00000000" w:rsidDel="00000000" w:rsidP="00000000" w:rsidRDefault="00000000" w:rsidRPr="00000000" w14:paraId="00000068">
      <w:pPr>
        <w:numPr>
          <w:ilvl w:val="0"/>
          <w:numId w:val="3"/>
        </w:numPr>
        <w:ind w:left="720" w:hanging="360"/>
        <w:rPr/>
      </w:pPr>
      <w:r w:rsidDel="00000000" w:rsidR="00000000" w:rsidRPr="00000000">
        <w:rPr>
          <w:b w:val="1"/>
          <w:bCs w:val="1"/>
          <w:rtl w:val="0"/>
        </w:rPr>
        <w:t xml:space="preserve">Zakon o ustanovama</w:t>
      </w:r>
      <w:r w:rsidDel="00000000" w:rsidR="00000000" w:rsidRPr="00000000">
        <w:rPr>
          <w:rtl w:val="0"/>
        </w:rPr>
        <w:t xml:space="preserve"> (NN 76/93, 29/97, 47/99, 35/08, 127/19 i 151/22)</w:t>
      </w:r>
    </w:p>
    <w:p w:rsidR="00000000" w:rsidDel="00000000" w:rsidP="00000000" w:rsidRDefault="00000000" w:rsidRPr="00000000" w14:paraId="00000069">
      <w:pPr>
        <w:numPr>
          <w:ilvl w:val="0"/>
          <w:numId w:val="3"/>
        </w:numPr>
        <w:ind w:left="720" w:hanging="360"/>
        <w:rPr/>
      </w:pPr>
      <w:r w:rsidDel="00000000" w:rsidR="00000000" w:rsidRPr="00000000">
        <w:rPr>
          <w:b w:val="1"/>
          <w:bCs w:val="1"/>
          <w:rtl w:val="0"/>
        </w:rPr>
        <w:t xml:space="preserve">Zakon o proračunu</w:t>
      </w:r>
      <w:r w:rsidDel="00000000" w:rsidR="00000000" w:rsidRPr="00000000">
        <w:rPr>
          <w:rtl w:val="0"/>
        </w:rPr>
        <w:t xml:space="preserve"> (NN 144/21)</w:t>
      </w:r>
    </w:p>
    <w:p w:rsidR="00000000" w:rsidDel="00000000" w:rsidP="00000000" w:rsidRDefault="00000000" w:rsidRPr="00000000" w14:paraId="0000006A">
      <w:pPr>
        <w:numPr>
          <w:ilvl w:val="0"/>
          <w:numId w:val="3"/>
        </w:numPr>
        <w:ind w:left="720" w:hanging="360"/>
        <w:rPr/>
      </w:pPr>
      <w:r w:rsidDel="00000000" w:rsidR="00000000" w:rsidRPr="00000000">
        <w:rPr>
          <w:b w:val="1"/>
          <w:bCs w:val="1"/>
          <w:rtl w:val="0"/>
        </w:rPr>
        <w:t xml:space="preserve">Zakon o fiskalnoj odgovornosti</w:t>
      </w:r>
      <w:r w:rsidDel="00000000" w:rsidR="00000000" w:rsidRPr="00000000">
        <w:rPr>
          <w:rtl w:val="0"/>
        </w:rPr>
        <w:t xml:space="preserve"> (NN 111/18 i 83/23)</w:t>
      </w:r>
    </w:p>
    <w:p w:rsidR="00000000" w:rsidDel="00000000" w:rsidP="00000000" w:rsidRDefault="00000000" w:rsidRPr="00000000" w14:paraId="0000006B">
      <w:pPr>
        <w:numPr>
          <w:ilvl w:val="0"/>
          <w:numId w:val="3"/>
        </w:numPr>
        <w:ind w:left="720" w:hanging="360"/>
        <w:rPr/>
      </w:pPr>
      <w:r w:rsidDel="00000000" w:rsidR="00000000" w:rsidRPr="00000000">
        <w:rPr>
          <w:b w:val="1"/>
          <w:bCs w:val="1"/>
          <w:rtl w:val="0"/>
        </w:rPr>
        <w:t xml:space="preserve">Zakon o kulturnim vijećima i financiranju javnih potreba u kulturi</w:t>
      </w:r>
      <w:r w:rsidDel="00000000" w:rsidR="00000000" w:rsidRPr="00000000">
        <w:rPr>
          <w:rtl w:val="0"/>
        </w:rPr>
        <w:t xml:space="preserve"> (NN 83/22)</w:t>
      </w:r>
    </w:p>
    <w:p w:rsidR="00000000" w:rsidDel="00000000" w:rsidP="00000000" w:rsidRDefault="00000000" w:rsidRPr="00000000" w14:paraId="0000006C">
      <w:pPr>
        <w:numPr>
          <w:ilvl w:val="0"/>
          <w:numId w:val="3"/>
        </w:numPr>
        <w:ind w:left="720" w:hanging="360"/>
        <w:rPr/>
      </w:pPr>
      <w:r w:rsidDel="00000000" w:rsidR="00000000" w:rsidRPr="00000000">
        <w:rPr>
          <w:b w:val="1"/>
          <w:bCs w:val="1"/>
          <w:rtl w:val="0"/>
        </w:rPr>
        <w:t xml:space="preserve">Zakon o financiranju jedinica lokalne i područne (regionalne) samouprave</w:t>
      </w:r>
      <w:r w:rsidDel="00000000" w:rsidR="00000000" w:rsidRPr="00000000">
        <w:rPr>
          <w:rtl w:val="0"/>
        </w:rPr>
        <w:t xml:space="preserve"> (NN 127/17, 138/20, 151/22 i 114/23)</w:t>
      </w:r>
    </w:p>
    <w:p w:rsidR="00000000" w:rsidDel="00000000" w:rsidP="00000000" w:rsidRDefault="00000000" w:rsidRPr="00000000" w14:paraId="0000006D">
      <w:pPr>
        <w:numPr>
          <w:ilvl w:val="0"/>
          <w:numId w:val="3"/>
        </w:numPr>
        <w:ind w:left="720" w:hanging="360"/>
        <w:rPr/>
      </w:pPr>
      <w:r w:rsidDel="00000000" w:rsidR="00000000" w:rsidRPr="00000000">
        <w:rPr>
          <w:b w:val="1"/>
          <w:bCs w:val="1"/>
          <w:rtl w:val="0"/>
        </w:rPr>
        <w:t xml:space="preserve">Pravilnik o proračunskom računovodstvu i Računskom planu</w:t>
      </w:r>
      <w:r w:rsidDel="00000000" w:rsidR="00000000" w:rsidRPr="00000000">
        <w:rPr>
          <w:rtl w:val="0"/>
        </w:rPr>
        <w:t xml:space="preserve"> (NN 158/23 i 154/24)</w:t>
      </w:r>
    </w:p>
    <w:p w:rsidR="00000000" w:rsidDel="00000000" w:rsidP="00000000" w:rsidRDefault="00000000" w:rsidRPr="00000000" w14:paraId="0000006E">
      <w:pPr>
        <w:numPr>
          <w:ilvl w:val="0"/>
          <w:numId w:val="3"/>
        </w:numPr>
        <w:ind w:left="720" w:hanging="360"/>
        <w:rPr/>
      </w:pPr>
      <w:r w:rsidDel="00000000" w:rsidR="00000000" w:rsidRPr="00000000">
        <w:rPr>
          <w:b w:val="1"/>
          <w:bCs w:val="1"/>
          <w:rtl w:val="0"/>
        </w:rPr>
        <w:t xml:space="preserve">Pravilnik o polugodišnjem i godišnjem izvještaju o izvršenju proračuna i financijskog plana</w:t>
      </w:r>
      <w:r w:rsidDel="00000000" w:rsidR="00000000" w:rsidRPr="00000000">
        <w:rPr>
          <w:rtl w:val="0"/>
        </w:rPr>
        <w:t xml:space="preserve"> (NN 85/23)</w:t>
      </w:r>
    </w:p>
    <w:p w:rsidR="00000000" w:rsidDel="00000000" w:rsidP="00000000" w:rsidRDefault="00000000" w:rsidRPr="00000000" w14:paraId="0000006F">
      <w:pPr>
        <w:numPr>
          <w:ilvl w:val="0"/>
          <w:numId w:val="3"/>
        </w:numPr>
        <w:ind w:left="720" w:hanging="360"/>
        <w:rPr/>
      </w:pPr>
      <w:r w:rsidDel="00000000" w:rsidR="00000000" w:rsidRPr="00000000">
        <w:rPr>
          <w:b w:val="1"/>
          <w:bCs w:val="1"/>
          <w:rtl w:val="0"/>
        </w:rPr>
        <w:t xml:space="preserve">Pravilnik o proračunskim klasifikacijama</w:t>
      </w:r>
      <w:r w:rsidDel="00000000" w:rsidR="00000000" w:rsidRPr="00000000">
        <w:rPr>
          <w:rtl w:val="0"/>
        </w:rPr>
        <w:t xml:space="preserve"> (NN 26/10, 120/13, 1/20 i 4/24)</w:t>
      </w:r>
    </w:p>
    <w:p w:rsidR="00000000" w:rsidDel="00000000" w:rsidP="00000000" w:rsidRDefault="00000000" w:rsidRPr="00000000" w14:paraId="00000070">
      <w:pPr>
        <w:numPr>
          <w:ilvl w:val="0"/>
          <w:numId w:val="3"/>
        </w:numPr>
        <w:ind w:left="720" w:hanging="360"/>
        <w:rPr/>
      </w:pPr>
      <w:r w:rsidDel="00000000" w:rsidR="00000000" w:rsidRPr="00000000">
        <w:rPr>
          <w:b w:val="1"/>
          <w:bCs w:val="1"/>
          <w:rtl w:val="0"/>
        </w:rPr>
        <w:t xml:space="preserve">Statut Centra mladih Ribnjak</w:t>
      </w:r>
      <w:r w:rsidDel="00000000" w:rsidR="00000000" w:rsidRPr="00000000">
        <w:rPr>
          <w:rtl w:val="0"/>
        </w:rPr>
      </w:r>
    </w:p>
    <w:p w:rsidR="00000000" w:rsidDel="00000000" w:rsidP="00000000" w:rsidRDefault="00000000" w:rsidRPr="00000000" w14:paraId="00000071">
      <w:pPr>
        <w:numPr>
          <w:ilvl w:val="0"/>
          <w:numId w:val="3"/>
        </w:numPr>
        <w:ind w:left="720" w:hanging="360"/>
        <w:rPr/>
      </w:pPr>
      <w:r w:rsidDel="00000000" w:rsidR="00000000" w:rsidRPr="00000000">
        <w:rPr>
          <w:rtl w:val="0"/>
        </w:rPr>
        <w:t xml:space="preserve">Odluke i zaključci Grada Zagreba te nadležnog Gradskog ureda za kulturu i civilno društvo</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pStyle w:val="Heading2"/>
        <w:numPr>
          <w:ilvl w:val="1"/>
          <w:numId w:val="1"/>
        </w:numPr>
        <w:ind w:left="1080" w:hanging="720"/>
        <w:rPr/>
      </w:pPr>
      <w:bookmarkStart w:colFirst="0" w:colLast="0" w:name="_heading=h.46dpi3vg3p5" w:id="8"/>
      <w:bookmarkEnd w:id="8"/>
      <w:r w:rsidDel="00000000" w:rsidR="00000000" w:rsidRPr="00000000">
        <w:rPr>
          <w:rtl w:val="0"/>
        </w:rPr>
        <w:t xml:space="preserve">Opis aktivnosti projekata</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Aktivnost A212401 Redovna djelatnost proračunskih korisnika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3"/>
          <w:szCs w:val="23"/>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Izvor 11 – Opći prihodi i primici odnosi se na sredstva Proračuna Grada Zagreba za financiranje rashoda za zaposlene (plaće, prijevoz, sistematski pregledi i ostala materijalna prava), dok se izvor 31 – Vlastiti prihodi odnosi na dio materijalnih rashoda, nagrađivanje zaposlenika te prihode ostvarene kroz uplate članarina, prodaju karata, suorganizaciju programa i najma prostora.</w:t>
      </w:r>
      <w:r w:rsidDel="00000000" w:rsidR="00000000" w:rsidRPr="00000000">
        <w:rPr>
          <w:rtl w:val="0"/>
        </w:rPr>
      </w:r>
    </w:p>
    <w:tbl>
      <w:tblPr>
        <w:tblStyle w:val="Table2"/>
        <w:tblW w:w="7386.000000000002" w:type="dxa"/>
        <w:jc w:val="left"/>
        <w:tblInd w:w="1085.0" w:type="dxa"/>
        <w:tblLayout w:type="fixed"/>
        <w:tblLook w:val="0400"/>
      </w:tblPr>
      <w:tblGrid>
        <w:gridCol w:w="1717"/>
        <w:gridCol w:w="1559"/>
        <w:gridCol w:w="2126"/>
        <w:gridCol w:w="992"/>
        <w:gridCol w:w="992"/>
        <w:tblGridChange w:id="0">
          <w:tblGrid>
            <w:gridCol w:w="1717"/>
            <w:gridCol w:w="1559"/>
            <w:gridCol w:w="2126"/>
            <w:gridCol w:w="992"/>
            <w:gridCol w:w="992"/>
          </w:tblGrid>
        </w:tblGridChange>
      </w:tblGrid>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ddebf7" w:val="clear"/>
            <w:vAlign w:val="center"/>
          </w:tcPr>
          <w:p w:rsidR="00000000" w:rsidDel="00000000" w:rsidP="00000000" w:rsidRDefault="00000000" w:rsidRPr="00000000" w14:paraId="0000007D">
            <w:pPr>
              <w:rPr>
                <w:b w:val="1"/>
                <w:bCs w:val="1"/>
                <w:color w:val="000000"/>
                <w:sz w:val="20"/>
                <w:szCs w:val="20"/>
              </w:rPr>
            </w:pPr>
            <w:r w:rsidDel="00000000" w:rsidR="00000000" w:rsidRPr="00000000">
              <w:rPr>
                <w:b w:val="1"/>
                <w:bCs w:val="1"/>
                <w:color w:val="000000"/>
                <w:sz w:val="20"/>
                <w:szCs w:val="20"/>
                <w:rtl w:val="0"/>
              </w:rPr>
              <w:t xml:space="preserve">ŠIFRA</w:t>
            </w:r>
          </w:p>
        </w:tc>
        <w:tc>
          <w:tcPr>
            <w:tcBorders>
              <w:top w:color="000000" w:space="0" w:sz="4" w:val="single"/>
              <w:left w:color="000000" w:space="0" w:sz="0" w:val="nil"/>
              <w:bottom w:color="000000" w:space="0" w:sz="4" w:val="single"/>
              <w:right w:color="000000" w:space="0" w:sz="4" w:val="single"/>
            </w:tcBorders>
            <w:shd w:fill="ddebf7" w:val="clear"/>
            <w:vAlign w:val="center"/>
          </w:tcPr>
          <w:p w:rsidR="00000000" w:rsidDel="00000000" w:rsidP="00000000" w:rsidRDefault="00000000" w:rsidRPr="00000000" w14:paraId="0000007E">
            <w:pPr>
              <w:rPr>
                <w:b w:val="1"/>
                <w:bCs w:val="1"/>
                <w:color w:val="000000"/>
                <w:sz w:val="20"/>
                <w:szCs w:val="20"/>
              </w:rPr>
            </w:pPr>
            <w:r w:rsidDel="00000000" w:rsidR="00000000" w:rsidRPr="00000000">
              <w:rPr>
                <w:b w:val="1"/>
                <w:bCs w:val="1"/>
                <w:color w:val="000000"/>
                <w:sz w:val="20"/>
                <w:szCs w:val="20"/>
                <w:rtl w:val="0"/>
              </w:rPr>
              <w:t xml:space="preserve">TEKUĆI PLAN/ REBALANS 2025.</w:t>
            </w:r>
          </w:p>
          <w:p w:rsidR="00000000" w:rsidDel="00000000" w:rsidP="00000000" w:rsidRDefault="00000000" w:rsidRPr="00000000" w14:paraId="0000007F">
            <w:pPr>
              <w:rPr>
                <w:b w:val="1"/>
                <w:bCs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debf7" w:val="clear"/>
            <w:vAlign w:val="center"/>
          </w:tcPr>
          <w:p w:rsidR="00000000" w:rsidDel="00000000" w:rsidP="00000000" w:rsidRDefault="00000000" w:rsidRPr="00000000" w14:paraId="00000080">
            <w:pPr>
              <w:rPr>
                <w:b w:val="1"/>
                <w:bCs w:val="1"/>
                <w:color w:val="000000"/>
                <w:sz w:val="20"/>
                <w:szCs w:val="20"/>
              </w:rPr>
            </w:pPr>
            <w:r w:rsidDel="00000000" w:rsidR="00000000" w:rsidRPr="00000000">
              <w:rPr>
                <w:b w:val="1"/>
                <w:bCs w:val="1"/>
                <w:color w:val="000000"/>
                <w:sz w:val="20"/>
                <w:szCs w:val="20"/>
                <w:rtl w:val="0"/>
              </w:rPr>
              <w:t xml:space="preserve">IZVRŠENJE/ OSTVARENJE </w:t>
              <w:br w:type="textWrapping"/>
              <w:t xml:space="preserve">2025.</w:t>
            </w:r>
          </w:p>
        </w:tc>
        <w:tc>
          <w:tcPr>
            <w:tcBorders>
              <w:top w:color="000000" w:space="0" w:sz="4" w:val="single"/>
              <w:left w:color="000000" w:space="0" w:sz="0" w:val="nil"/>
              <w:bottom w:color="000000" w:space="0" w:sz="4" w:val="single"/>
              <w:right w:color="000000" w:space="0" w:sz="4" w:val="single"/>
            </w:tcBorders>
            <w:shd w:fill="ddebf7" w:val="clear"/>
            <w:vAlign w:val="center"/>
          </w:tcPr>
          <w:p w:rsidR="00000000" w:rsidDel="00000000" w:rsidP="00000000" w:rsidRDefault="00000000" w:rsidRPr="00000000" w14:paraId="00000081">
            <w:pPr>
              <w:rPr>
                <w:b w:val="1"/>
                <w:bCs w:val="1"/>
                <w:color w:val="000000"/>
                <w:sz w:val="20"/>
                <w:szCs w:val="20"/>
              </w:rPr>
            </w:pPr>
            <w:r w:rsidDel="00000000" w:rsidR="00000000" w:rsidRPr="00000000">
              <w:rPr>
                <w:b w:val="1"/>
                <w:bCs w:val="1"/>
                <w:color w:val="000000"/>
                <w:sz w:val="20"/>
                <w:szCs w:val="20"/>
                <w:rtl w:val="0"/>
              </w:rPr>
              <w:t xml:space="preserve">INDEKS</w:t>
            </w:r>
          </w:p>
        </w:tc>
        <w:tc>
          <w:tcPr/>
          <w:p w:rsidR="00000000" w:rsidDel="00000000" w:rsidP="00000000" w:rsidRDefault="00000000" w:rsidRPr="00000000" w14:paraId="00000082">
            <w:pPr>
              <w:rPr>
                <w:b w:val="1"/>
                <w:bCs w:val="1"/>
                <w:color w:val="000000"/>
                <w:sz w:val="20"/>
                <w:szCs w:val="20"/>
              </w:rPr>
            </w:pPr>
            <w:r w:rsidDel="00000000" w:rsidR="00000000" w:rsidRPr="00000000">
              <w:rPr>
                <w:rtl w:val="0"/>
              </w:rPr>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83">
            <w:pPr>
              <w:ind w:firstLine="602"/>
              <w:rPr>
                <w:b w:val="1"/>
                <w:bCs w:val="1"/>
                <w:color w:val="000000"/>
                <w:sz w:val="20"/>
                <w:szCs w:val="20"/>
              </w:rPr>
            </w:pPr>
            <w:r w:rsidDel="00000000" w:rsidR="00000000" w:rsidRPr="00000000">
              <w:rPr>
                <w:b w:val="1"/>
                <w:bCs w:val="1"/>
                <w:color w:val="000000"/>
                <w:sz w:val="20"/>
                <w:szCs w:val="20"/>
                <w:rtl w:val="0"/>
              </w:rPr>
              <w:t xml:space="preserve">Aktivnost        A212401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84">
            <w:pPr>
              <w:rPr>
                <w:color w:val="000000"/>
                <w:sz w:val="20"/>
                <w:szCs w:val="20"/>
              </w:rPr>
            </w:pPr>
            <w:r w:rsidDel="00000000" w:rsidR="00000000" w:rsidRPr="00000000">
              <w:rPr>
                <w:color w:val="000000"/>
                <w:sz w:val="20"/>
                <w:szCs w:val="20"/>
                <w:rtl w:val="0"/>
              </w:rPr>
              <w:t xml:space="preserve">826.700,00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85">
            <w:pPr>
              <w:rPr>
                <w:color w:val="000000"/>
                <w:sz w:val="20"/>
                <w:szCs w:val="20"/>
              </w:rPr>
            </w:pPr>
            <w:r w:rsidDel="00000000" w:rsidR="00000000" w:rsidRPr="00000000">
              <w:rPr>
                <w:color w:val="000000"/>
                <w:sz w:val="20"/>
                <w:szCs w:val="20"/>
                <w:rtl w:val="0"/>
              </w:rPr>
              <w:t xml:space="preserve">758.681,60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86">
            <w:pPr>
              <w:rPr>
                <w:color w:val="000000"/>
                <w:sz w:val="20"/>
                <w:szCs w:val="20"/>
              </w:rPr>
            </w:pPr>
            <w:r w:rsidDel="00000000" w:rsidR="00000000" w:rsidRPr="00000000">
              <w:rPr>
                <w:color w:val="000000"/>
                <w:sz w:val="20"/>
                <w:szCs w:val="20"/>
                <w:rtl w:val="0"/>
              </w:rPr>
              <w:t xml:space="preserve">91,77</w:t>
            </w:r>
          </w:p>
        </w:tc>
        <w:tc>
          <w:tcPr/>
          <w:p w:rsidR="00000000" w:rsidDel="00000000" w:rsidP="00000000" w:rsidRDefault="00000000" w:rsidRPr="00000000" w14:paraId="00000087">
            <w:pPr>
              <w:rPr>
                <w:color w:val="000000"/>
                <w:sz w:val="20"/>
                <w:szCs w:val="20"/>
              </w:rPr>
            </w:pPr>
            <w:r w:rsidDel="00000000" w:rsidR="00000000" w:rsidRPr="00000000">
              <w:rPr>
                <w:rtl w:val="0"/>
              </w:rPr>
            </w:r>
          </w:p>
        </w:tc>
      </w:tr>
    </w:tbl>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Tablica 2. Redovna aktivnost</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Aktivnost T212401 Tekući projekt PILOT PROJEKT SPARK</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Rashodi po aktivnosti realizirani su sukladno planiranim projektnim aktivnostima i odobrenom financijskom okviru, pri čemu je dinamika izvršenja vezana uz školsku, a ne kalendarsku godinu. Projekt SPARK provodio se u razdoblju rujan 2024. – kolovoz 2025., odnosno prema modelu školske godine, dok se financijsko izvještavanje vodi prema kalendarskoj godini. Slijedom navedenog, dio rashoda realiziran je u 2025. godini u okviru završne faze projekta, što je utjecalo na odstupanje u odnosu na godišnji plan. Tijekom 2025. godine nije proveden II. rebalans financijskog plana, budući da ukupna vrijednost projekta i odobreni financijski okvir Sporazuma o suradnji nisu bili izmijenjeni. Svi su rashodi izvršeni namjenski, sukladno ugovorenim obvezama. Ukupna vrijednost projekta nije premašena, a odstupanje se odnosi isključivo na vremensku preraspodjelu rashoda između proračunskih godina.</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bl>
      <w:tblPr>
        <w:tblStyle w:val="Table3"/>
        <w:tblW w:w="6394.000000000001" w:type="dxa"/>
        <w:jc w:val="left"/>
        <w:tblInd w:w="1085.0" w:type="dxa"/>
        <w:tblLayout w:type="fixed"/>
        <w:tblLook w:val="0400"/>
      </w:tblPr>
      <w:tblGrid>
        <w:gridCol w:w="1717"/>
        <w:gridCol w:w="1559"/>
        <w:gridCol w:w="2126"/>
        <w:gridCol w:w="992"/>
        <w:tblGridChange w:id="0">
          <w:tblGrid>
            <w:gridCol w:w="1717"/>
            <w:gridCol w:w="1559"/>
            <w:gridCol w:w="2126"/>
            <w:gridCol w:w="992"/>
          </w:tblGrid>
        </w:tblGridChange>
      </w:tblGrid>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ddebf7" w:val="clear"/>
            <w:vAlign w:val="center"/>
          </w:tcPr>
          <w:p w:rsidR="00000000" w:rsidDel="00000000" w:rsidP="00000000" w:rsidRDefault="00000000" w:rsidRPr="00000000" w14:paraId="0000008E">
            <w:pPr>
              <w:jc w:val="center"/>
              <w:rPr>
                <w:b w:val="1"/>
                <w:bCs w:val="1"/>
                <w:color w:val="000000"/>
                <w:sz w:val="20"/>
                <w:szCs w:val="20"/>
              </w:rPr>
            </w:pPr>
            <w:r w:rsidDel="00000000" w:rsidR="00000000" w:rsidRPr="00000000">
              <w:rPr>
                <w:b w:val="1"/>
                <w:bCs w:val="1"/>
                <w:color w:val="000000"/>
                <w:sz w:val="20"/>
                <w:szCs w:val="20"/>
                <w:rtl w:val="0"/>
              </w:rPr>
              <w:t xml:space="preserve">ŠIFRA</w:t>
            </w:r>
          </w:p>
        </w:tc>
        <w:tc>
          <w:tcPr>
            <w:tcBorders>
              <w:top w:color="000000" w:space="0" w:sz="4" w:val="single"/>
              <w:left w:color="000000" w:space="0" w:sz="0" w:val="nil"/>
              <w:bottom w:color="000000" w:space="0" w:sz="4" w:val="single"/>
              <w:right w:color="000000" w:space="0" w:sz="4" w:val="single"/>
            </w:tcBorders>
            <w:shd w:fill="ddebf7" w:val="clear"/>
            <w:vAlign w:val="center"/>
          </w:tcPr>
          <w:p w:rsidR="00000000" w:rsidDel="00000000" w:rsidP="00000000" w:rsidRDefault="00000000" w:rsidRPr="00000000" w14:paraId="0000008F">
            <w:pPr>
              <w:jc w:val="center"/>
              <w:rPr>
                <w:b w:val="1"/>
                <w:bCs w:val="1"/>
                <w:color w:val="000000"/>
                <w:sz w:val="20"/>
                <w:szCs w:val="20"/>
              </w:rPr>
            </w:pPr>
            <w:r w:rsidDel="00000000" w:rsidR="00000000" w:rsidRPr="00000000">
              <w:rPr>
                <w:b w:val="1"/>
                <w:bCs w:val="1"/>
                <w:color w:val="000000"/>
                <w:sz w:val="20"/>
                <w:szCs w:val="20"/>
                <w:rtl w:val="0"/>
              </w:rPr>
              <w:t xml:space="preserve">TEKUĆI PLAN/ REBALANS 2025.</w:t>
            </w:r>
          </w:p>
          <w:p w:rsidR="00000000" w:rsidDel="00000000" w:rsidP="00000000" w:rsidRDefault="00000000" w:rsidRPr="00000000" w14:paraId="00000090">
            <w:pPr>
              <w:jc w:val="center"/>
              <w:rPr>
                <w:b w:val="1"/>
                <w:bCs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debf7" w:val="clear"/>
            <w:vAlign w:val="center"/>
          </w:tcPr>
          <w:p w:rsidR="00000000" w:rsidDel="00000000" w:rsidP="00000000" w:rsidRDefault="00000000" w:rsidRPr="00000000" w14:paraId="00000091">
            <w:pPr>
              <w:jc w:val="center"/>
              <w:rPr>
                <w:b w:val="1"/>
                <w:bCs w:val="1"/>
                <w:color w:val="000000"/>
                <w:sz w:val="20"/>
                <w:szCs w:val="20"/>
              </w:rPr>
            </w:pPr>
            <w:r w:rsidDel="00000000" w:rsidR="00000000" w:rsidRPr="00000000">
              <w:rPr>
                <w:b w:val="1"/>
                <w:bCs w:val="1"/>
                <w:color w:val="000000"/>
                <w:sz w:val="20"/>
                <w:szCs w:val="20"/>
                <w:rtl w:val="0"/>
              </w:rPr>
              <w:t xml:space="preserve">IZVRŠENJE/ OSTVARENJE </w:t>
              <w:br w:type="textWrapping"/>
              <w:t xml:space="preserve">2025.</w:t>
            </w:r>
          </w:p>
        </w:tc>
        <w:tc>
          <w:tcPr>
            <w:tcBorders>
              <w:top w:color="000000" w:space="0" w:sz="4" w:val="single"/>
              <w:left w:color="000000" w:space="0" w:sz="0" w:val="nil"/>
              <w:bottom w:color="000000" w:space="0" w:sz="4" w:val="single"/>
              <w:right w:color="000000" w:space="0" w:sz="4" w:val="single"/>
            </w:tcBorders>
            <w:shd w:fill="ddebf7" w:val="clear"/>
            <w:vAlign w:val="center"/>
          </w:tcPr>
          <w:p w:rsidR="00000000" w:rsidDel="00000000" w:rsidP="00000000" w:rsidRDefault="00000000" w:rsidRPr="00000000" w14:paraId="00000092">
            <w:pPr>
              <w:jc w:val="center"/>
              <w:rPr>
                <w:b w:val="1"/>
                <w:bCs w:val="1"/>
                <w:color w:val="000000"/>
                <w:sz w:val="20"/>
                <w:szCs w:val="20"/>
              </w:rPr>
            </w:pPr>
            <w:r w:rsidDel="00000000" w:rsidR="00000000" w:rsidRPr="00000000">
              <w:rPr>
                <w:b w:val="1"/>
                <w:bCs w:val="1"/>
                <w:color w:val="000000"/>
                <w:sz w:val="20"/>
                <w:szCs w:val="20"/>
                <w:rtl w:val="0"/>
              </w:rPr>
              <w:t xml:space="preserve">INDEKS</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93">
            <w:pPr>
              <w:ind w:firstLine="602"/>
              <w:rPr>
                <w:b w:val="1"/>
                <w:bCs w:val="1"/>
                <w:color w:val="000000"/>
                <w:sz w:val="20"/>
                <w:szCs w:val="20"/>
              </w:rPr>
            </w:pPr>
            <w:r w:rsidDel="00000000" w:rsidR="00000000" w:rsidRPr="00000000">
              <w:rPr>
                <w:b w:val="1"/>
                <w:bCs w:val="1"/>
                <w:color w:val="000000"/>
                <w:sz w:val="20"/>
                <w:szCs w:val="20"/>
                <w:rtl w:val="0"/>
              </w:rPr>
              <w:t xml:space="preserve">Aktivnost        T212401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94">
            <w:pPr>
              <w:jc w:val="right"/>
              <w:rPr>
                <w:color w:val="000000"/>
                <w:sz w:val="20"/>
                <w:szCs w:val="20"/>
              </w:rPr>
            </w:pPr>
            <w:r w:rsidDel="00000000" w:rsidR="00000000" w:rsidRPr="00000000">
              <w:rPr>
                <w:color w:val="000000"/>
                <w:sz w:val="20"/>
                <w:szCs w:val="20"/>
                <w:rtl w:val="0"/>
              </w:rPr>
              <w:t xml:space="preserve">16.600,00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95">
            <w:pPr>
              <w:jc w:val="right"/>
              <w:rPr>
                <w:color w:val="000000"/>
                <w:sz w:val="20"/>
                <w:szCs w:val="20"/>
              </w:rPr>
            </w:pPr>
            <w:r w:rsidDel="00000000" w:rsidR="00000000" w:rsidRPr="00000000">
              <w:rPr>
                <w:color w:val="000000"/>
                <w:sz w:val="20"/>
                <w:szCs w:val="20"/>
                <w:rtl w:val="0"/>
              </w:rPr>
              <w:t xml:space="preserve">45.394,08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96">
            <w:pPr>
              <w:jc w:val="right"/>
              <w:rPr>
                <w:color w:val="000000"/>
                <w:sz w:val="20"/>
                <w:szCs w:val="20"/>
              </w:rPr>
            </w:pPr>
            <w:r w:rsidDel="00000000" w:rsidR="00000000" w:rsidRPr="00000000">
              <w:rPr>
                <w:color w:val="000000"/>
                <w:sz w:val="20"/>
                <w:szCs w:val="20"/>
                <w:rtl w:val="0"/>
              </w:rPr>
              <w:t xml:space="preserve">        273,46 </w:t>
            </w:r>
          </w:p>
        </w:tc>
      </w:tr>
    </w:tbl>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Tablica3. Pilot projekt Spark</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Aktivnost K212401 Održavanje i opremanje ustanova u kulturi</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Sukladno utvrđenim limitima za planiranje rashoda, izvor 11 – Opći prihodi i primici odnosi se na sredstva osigurana Proračunom Grada Zagreba za nabavu nove opreme te obnovu i održavanje postojeće imovine ustanove. Izvor 31 – Vlastiti prihodi odnosi se na rashode financirane iz tržišno ostvarenih sredstava, a uključuju nabavu opreme i namještaja te sufinanciranje i nadogradnju računalnih programa i informatičke opreme.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bl>
      <w:tblPr>
        <w:tblStyle w:val="Table4"/>
        <w:tblW w:w="6402.0" w:type="dxa"/>
        <w:jc w:val="left"/>
        <w:tblInd w:w="1077.0" w:type="dxa"/>
        <w:tblLayout w:type="fixed"/>
        <w:tblLook w:val="0400"/>
      </w:tblPr>
      <w:tblGrid>
        <w:gridCol w:w="1725"/>
        <w:gridCol w:w="1559"/>
        <w:gridCol w:w="2126"/>
        <w:gridCol w:w="992"/>
        <w:tblGridChange w:id="0">
          <w:tblGrid>
            <w:gridCol w:w="1725"/>
            <w:gridCol w:w="1559"/>
            <w:gridCol w:w="2126"/>
            <w:gridCol w:w="992"/>
          </w:tblGrid>
        </w:tblGridChange>
      </w:tblGrid>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ddebf7" w:val="clear"/>
            <w:vAlign w:val="center"/>
          </w:tcPr>
          <w:p w:rsidR="00000000" w:rsidDel="00000000" w:rsidP="00000000" w:rsidRDefault="00000000" w:rsidRPr="00000000" w14:paraId="000000A0">
            <w:pPr>
              <w:jc w:val="center"/>
              <w:rPr>
                <w:b w:val="1"/>
                <w:bCs w:val="1"/>
                <w:color w:val="000000"/>
                <w:sz w:val="20"/>
                <w:szCs w:val="20"/>
              </w:rPr>
            </w:pPr>
            <w:r w:rsidDel="00000000" w:rsidR="00000000" w:rsidRPr="00000000">
              <w:rPr>
                <w:b w:val="1"/>
                <w:bCs w:val="1"/>
                <w:color w:val="000000"/>
                <w:sz w:val="20"/>
                <w:szCs w:val="20"/>
                <w:rtl w:val="0"/>
              </w:rPr>
              <w:t xml:space="preserve">ŠIFRA</w:t>
            </w:r>
          </w:p>
        </w:tc>
        <w:tc>
          <w:tcPr>
            <w:tcBorders>
              <w:top w:color="000000" w:space="0" w:sz="4" w:val="single"/>
              <w:left w:color="000000" w:space="0" w:sz="0" w:val="nil"/>
              <w:bottom w:color="000000" w:space="0" w:sz="4" w:val="single"/>
              <w:right w:color="000000" w:space="0" w:sz="4" w:val="single"/>
            </w:tcBorders>
            <w:shd w:fill="ddebf7" w:val="clear"/>
            <w:vAlign w:val="center"/>
          </w:tcPr>
          <w:p w:rsidR="00000000" w:rsidDel="00000000" w:rsidP="00000000" w:rsidRDefault="00000000" w:rsidRPr="00000000" w14:paraId="000000A1">
            <w:pPr>
              <w:jc w:val="center"/>
              <w:rPr>
                <w:b w:val="1"/>
                <w:bCs w:val="1"/>
                <w:color w:val="000000"/>
                <w:sz w:val="20"/>
                <w:szCs w:val="20"/>
              </w:rPr>
            </w:pPr>
            <w:r w:rsidDel="00000000" w:rsidR="00000000" w:rsidRPr="00000000">
              <w:rPr>
                <w:b w:val="1"/>
                <w:bCs w:val="1"/>
                <w:color w:val="000000"/>
                <w:sz w:val="20"/>
                <w:szCs w:val="20"/>
                <w:rtl w:val="0"/>
              </w:rPr>
              <w:t xml:space="preserve">TEKUĆI PLAN/ REBALANS 2025.</w:t>
            </w:r>
          </w:p>
          <w:p w:rsidR="00000000" w:rsidDel="00000000" w:rsidP="00000000" w:rsidRDefault="00000000" w:rsidRPr="00000000" w14:paraId="000000A2">
            <w:pPr>
              <w:jc w:val="center"/>
              <w:rPr>
                <w:b w:val="1"/>
                <w:bCs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debf7" w:val="clear"/>
            <w:vAlign w:val="center"/>
          </w:tcPr>
          <w:p w:rsidR="00000000" w:rsidDel="00000000" w:rsidP="00000000" w:rsidRDefault="00000000" w:rsidRPr="00000000" w14:paraId="000000A3">
            <w:pPr>
              <w:jc w:val="center"/>
              <w:rPr>
                <w:b w:val="1"/>
                <w:bCs w:val="1"/>
                <w:color w:val="000000"/>
                <w:sz w:val="20"/>
                <w:szCs w:val="20"/>
              </w:rPr>
            </w:pPr>
            <w:r w:rsidDel="00000000" w:rsidR="00000000" w:rsidRPr="00000000">
              <w:rPr>
                <w:b w:val="1"/>
                <w:bCs w:val="1"/>
                <w:color w:val="000000"/>
                <w:sz w:val="20"/>
                <w:szCs w:val="20"/>
                <w:rtl w:val="0"/>
              </w:rPr>
              <w:t xml:space="preserve">IZVRŠENJE/ OSTVARENJE </w:t>
              <w:br w:type="textWrapping"/>
              <w:t xml:space="preserve">2025.</w:t>
            </w:r>
          </w:p>
        </w:tc>
        <w:tc>
          <w:tcPr>
            <w:tcBorders>
              <w:top w:color="000000" w:space="0" w:sz="4" w:val="single"/>
              <w:left w:color="000000" w:space="0" w:sz="0" w:val="nil"/>
              <w:bottom w:color="000000" w:space="0" w:sz="4" w:val="single"/>
              <w:right w:color="000000" w:space="0" w:sz="4" w:val="single"/>
            </w:tcBorders>
            <w:shd w:fill="ddebf7" w:val="clear"/>
            <w:vAlign w:val="center"/>
          </w:tcPr>
          <w:p w:rsidR="00000000" w:rsidDel="00000000" w:rsidP="00000000" w:rsidRDefault="00000000" w:rsidRPr="00000000" w14:paraId="000000A4">
            <w:pPr>
              <w:jc w:val="center"/>
              <w:rPr>
                <w:b w:val="1"/>
                <w:bCs w:val="1"/>
                <w:color w:val="000000"/>
                <w:sz w:val="20"/>
                <w:szCs w:val="20"/>
              </w:rPr>
            </w:pPr>
            <w:r w:rsidDel="00000000" w:rsidR="00000000" w:rsidRPr="00000000">
              <w:rPr>
                <w:b w:val="1"/>
                <w:bCs w:val="1"/>
                <w:color w:val="000000"/>
                <w:sz w:val="20"/>
                <w:szCs w:val="20"/>
                <w:rtl w:val="0"/>
              </w:rPr>
              <w:t xml:space="preserve">INDEKS</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A5">
            <w:pPr>
              <w:ind w:firstLine="602"/>
              <w:rPr>
                <w:b w:val="1"/>
                <w:bCs w:val="1"/>
                <w:color w:val="000000"/>
                <w:sz w:val="20"/>
                <w:szCs w:val="20"/>
              </w:rPr>
            </w:pPr>
            <w:r w:rsidDel="00000000" w:rsidR="00000000" w:rsidRPr="00000000">
              <w:rPr>
                <w:b w:val="1"/>
                <w:bCs w:val="1"/>
                <w:color w:val="000000"/>
                <w:sz w:val="20"/>
                <w:szCs w:val="20"/>
                <w:rtl w:val="0"/>
              </w:rPr>
              <w:t xml:space="preserve">Aktivnost K212401</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6">
            <w:pPr>
              <w:jc w:val="right"/>
              <w:rPr>
                <w:color w:val="000000"/>
                <w:sz w:val="20"/>
                <w:szCs w:val="20"/>
              </w:rPr>
            </w:pPr>
            <w:r w:rsidDel="00000000" w:rsidR="00000000" w:rsidRPr="00000000">
              <w:rPr>
                <w:color w:val="000000"/>
                <w:sz w:val="20"/>
                <w:szCs w:val="20"/>
                <w:rtl w:val="0"/>
              </w:rPr>
              <w:t xml:space="preserve">36.000,00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7">
            <w:pPr>
              <w:jc w:val="right"/>
              <w:rPr>
                <w:color w:val="000000"/>
                <w:sz w:val="20"/>
                <w:szCs w:val="20"/>
              </w:rPr>
            </w:pPr>
            <w:r w:rsidDel="00000000" w:rsidR="00000000" w:rsidRPr="00000000">
              <w:rPr>
                <w:color w:val="000000"/>
                <w:sz w:val="20"/>
                <w:szCs w:val="20"/>
                <w:rtl w:val="0"/>
              </w:rPr>
              <w:t xml:space="preserve">36.708,54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A8">
            <w:pPr>
              <w:jc w:val="right"/>
              <w:rPr>
                <w:color w:val="000000"/>
                <w:sz w:val="20"/>
                <w:szCs w:val="20"/>
              </w:rPr>
            </w:pPr>
            <w:r w:rsidDel="00000000" w:rsidR="00000000" w:rsidRPr="00000000">
              <w:rPr>
                <w:color w:val="000000"/>
                <w:sz w:val="20"/>
                <w:szCs w:val="20"/>
                <w:rtl w:val="0"/>
              </w:rPr>
              <w:t xml:space="preserve">        101,97 </w:t>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Tablica 4. Održavanje i opremanje</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Aktivnost A212402 Programska djelatnost javnih ustanova</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Sukladno utvrđenim proračunskim limitima, Centar kulture Ribnjak planirao je i izvršavao rashode po izvoru 11 – Opći prihodi i primici u okviru odobrenih sredstava Proračuna Grada Zagreba. Izvršenje rashoda po navedenoj aktivnosti provodi se putem računa proračunskog korisnika, pri čemu se primljena sredstva evidentiraju u okviru podskupine 671 – Prihodi iz nadležnog proračuna za financiranje programske djelatnosti proračunskih korisnika (izvor 11), dok se rashodi iskazuju na odgovarajućim računima ekonomske klasifikacije, sukladno važećim propisima o proračunskom računovodstvu.</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Sredstva su utrošena namjenski, u skladu s odobrenim financijskim planom, bez prekoračenja planiranih pozicija..</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tbl>
      <w:tblPr>
        <w:tblStyle w:val="Table5"/>
        <w:tblW w:w="6394.000000000001" w:type="dxa"/>
        <w:jc w:val="left"/>
        <w:tblInd w:w="1085.0" w:type="dxa"/>
        <w:tblLayout w:type="fixed"/>
        <w:tblLook w:val="0400"/>
      </w:tblPr>
      <w:tblGrid>
        <w:gridCol w:w="1717"/>
        <w:gridCol w:w="1559"/>
        <w:gridCol w:w="2126"/>
        <w:gridCol w:w="992"/>
        <w:tblGridChange w:id="0">
          <w:tblGrid>
            <w:gridCol w:w="1717"/>
            <w:gridCol w:w="1559"/>
            <w:gridCol w:w="2126"/>
            <w:gridCol w:w="992"/>
          </w:tblGrid>
        </w:tblGridChange>
      </w:tblGrid>
      <w:tr>
        <w:trPr>
          <w:cantSplit w:val="0"/>
          <w:trHeight w:val="510" w:hRule="atLeast"/>
          <w:tblHeader w:val="0"/>
        </w:trPr>
        <w:tc>
          <w:tcPr>
            <w:tcBorders>
              <w:top w:color="000000" w:space="0" w:sz="4" w:val="single"/>
              <w:left w:color="000000" w:space="0" w:sz="4" w:val="single"/>
              <w:bottom w:color="000000" w:space="0" w:sz="4" w:val="single"/>
              <w:right w:color="000000" w:space="0" w:sz="4" w:val="single"/>
            </w:tcBorders>
            <w:shd w:fill="ddebf7" w:val="clear"/>
            <w:vAlign w:val="center"/>
          </w:tcPr>
          <w:p w:rsidR="00000000" w:rsidDel="00000000" w:rsidP="00000000" w:rsidRDefault="00000000" w:rsidRPr="00000000" w14:paraId="000000B0">
            <w:pPr>
              <w:jc w:val="center"/>
              <w:rPr>
                <w:b w:val="1"/>
                <w:bCs w:val="1"/>
                <w:color w:val="000000"/>
                <w:sz w:val="20"/>
                <w:szCs w:val="20"/>
              </w:rPr>
            </w:pPr>
            <w:r w:rsidDel="00000000" w:rsidR="00000000" w:rsidRPr="00000000">
              <w:rPr>
                <w:b w:val="1"/>
                <w:bCs w:val="1"/>
                <w:color w:val="000000"/>
                <w:sz w:val="20"/>
                <w:szCs w:val="20"/>
                <w:rtl w:val="0"/>
              </w:rPr>
              <w:t xml:space="preserve">ŠIFRA</w:t>
            </w:r>
          </w:p>
        </w:tc>
        <w:tc>
          <w:tcPr>
            <w:tcBorders>
              <w:top w:color="000000" w:space="0" w:sz="4" w:val="single"/>
              <w:left w:color="000000" w:space="0" w:sz="0" w:val="nil"/>
              <w:bottom w:color="000000" w:space="0" w:sz="4" w:val="single"/>
              <w:right w:color="000000" w:space="0" w:sz="4" w:val="single"/>
            </w:tcBorders>
            <w:shd w:fill="ddebf7" w:val="clear"/>
            <w:vAlign w:val="center"/>
          </w:tcPr>
          <w:p w:rsidR="00000000" w:rsidDel="00000000" w:rsidP="00000000" w:rsidRDefault="00000000" w:rsidRPr="00000000" w14:paraId="000000B1">
            <w:pPr>
              <w:jc w:val="center"/>
              <w:rPr>
                <w:b w:val="1"/>
                <w:bCs w:val="1"/>
                <w:color w:val="000000"/>
                <w:sz w:val="20"/>
                <w:szCs w:val="20"/>
              </w:rPr>
            </w:pPr>
            <w:r w:rsidDel="00000000" w:rsidR="00000000" w:rsidRPr="00000000">
              <w:rPr>
                <w:b w:val="1"/>
                <w:bCs w:val="1"/>
                <w:color w:val="000000"/>
                <w:sz w:val="20"/>
                <w:szCs w:val="20"/>
                <w:rtl w:val="0"/>
              </w:rPr>
              <w:t xml:space="preserve">TEKUĆI PLAN/ REBALANS 2025.</w:t>
            </w:r>
          </w:p>
          <w:p w:rsidR="00000000" w:rsidDel="00000000" w:rsidP="00000000" w:rsidRDefault="00000000" w:rsidRPr="00000000" w14:paraId="000000B2">
            <w:pPr>
              <w:jc w:val="center"/>
              <w:rPr>
                <w:b w:val="1"/>
                <w:bCs w:val="1"/>
                <w:color w:val="000000"/>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ddebf7" w:val="clear"/>
            <w:vAlign w:val="center"/>
          </w:tcPr>
          <w:p w:rsidR="00000000" w:rsidDel="00000000" w:rsidP="00000000" w:rsidRDefault="00000000" w:rsidRPr="00000000" w14:paraId="000000B3">
            <w:pPr>
              <w:jc w:val="center"/>
              <w:rPr>
                <w:b w:val="1"/>
                <w:bCs w:val="1"/>
                <w:color w:val="000000"/>
                <w:sz w:val="20"/>
                <w:szCs w:val="20"/>
              </w:rPr>
            </w:pPr>
            <w:r w:rsidDel="00000000" w:rsidR="00000000" w:rsidRPr="00000000">
              <w:rPr>
                <w:b w:val="1"/>
                <w:bCs w:val="1"/>
                <w:color w:val="000000"/>
                <w:sz w:val="20"/>
                <w:szCs w:val="20"/>
                <w:rtl w:val="0"/>
              </w:rPr>
              <w:t xml:space="preserve">IZVRŠENJE/ OSTVARENJE </w:t>
              <w:br w:type="textWrapping"/>
              <w:t xml:space="preserve">2025.</w:t>
            </w:r>
          </w:p>
        </w:tc>
        <w:tc>
          <w:tcPr>
            <w:tcBorders>
              <w:top w:color="000000" w:space="0" w:sz="4" w:val="single"/>
              <w:left w:color="000000" w:space="0" w:sz="0" w:val="nil"/>
              <w:bottom w:color="000000" w:space="0" w:sz="4" w:val="single"/>
              <w:right w:color="000000" w:space="0" w:sz="4" w:val="single"/>
            </w:tcBorders>
            <w:shd w:fill="ddebf7" w:val="clear"/>
            <w:vAlign w:val="center"/>
          </w:tcPr>
          <w:p w:rsidR="00000000" w:rsidDel="00000000" w:rsidP="00000000" w:rsidRDefault="00000000" w:rsidRPr="00000000" w14:paraId="000000B4">
            <w:pPr>
              <w:jc w:val="center"/>
              <w:rPr>
                <w:b w:val="1"/>
                <w:bCs w:val="1"/>
                <w:color w:val="000000"/>
                <w:sz w:val="20"/>
                <w:szCs w:val="20"/>
              </w:rPr>
            </w:pPr>
            <w:r w:rsidDel="00000000" w:rsidR="00000000" w:rsidRPr="00000000">
              <w:rPr>
                <w:b w:val="1"/>
                <w:bCs w:val="1"/>
                <w:color w:val="000000"/>
                <w:sz w:val="20"/>
                <w:szCs w:val="20"/>
                <w:rtl w:val="0"/>
              </w:rPr>
              <w:t xml:space="preserve">INDEKS</w:t>
            </w:r>
          </w:p>
        </w:tc>
      </w:tr>
      <w:tr>
        <w:trPr>
          <w:cantSplit w:val="0"/>
          <w:trHeight w:val="765"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B5">
            <w:pPr>
              <w:ind w:firstLine="602"/>
              <w:rPr>
                <w:b w:val="1"/>
                <w:bCs w:val="1"/>
                <w:color w:val="000000"/>
                <w:sz w:val="20"/>
                <w:szCs w:val="20"/>
              </w:rPr>
            </w:pPr>
            <w:r w:rsidDel="00000000" w:rsidR="00000000" w:rsidRPr="00000000">
              <w:rPr>
                <w:b w:val="1"/>
                <w:bCs w:val="1"/>
                <w:color w:val="000000"/>
                <w:sz w:val="20"/>
                <w:szCs w:val="20"/>
                <w:rtl w:val="0"/>
              </w:rPr>
              <w:t xml:space="preserve">Aktivnost A212402</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6">
            <w:pPr>
              <w:jc w:val="right"/>
              <w:rPr>
                <w:color w:val="000000"/>
                <w:sz w:val="20"/>
                <w:szCs w:val="20"/>
              </w:rPr>
            </w:pPr>
            <w:r w:rsidDel="00000000" w:rsidR="00000000" w:rsidRPr="00000000">
              <w:rPr>
                <w:color w:val="000000"/>
                <w:sz w:val="20"/>
                <w:szCs w:val="20"/>
                <w:rtl w:val="0"/>
              </w:rPr>
              <w:t xml:space="preserve">185.300,00</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7">
            <w:pPr>
              <w:jc w:val="right"/>
              <w:rPr>
                <w:color w:val="000000"/>
                <w:sz w:val="20"/>
                <w:szCs w:val="20"/>
              </w:rPr>
            </w:pPr>
            <w:r w:rsidDel="00000000" w:rsidR="00000000" w:rsidRPr="00000000">
              <w:rPr>
                <w:color w:val="000000"/>
                <w:sz w:val="20"/>
                <w:szCs w:val="20"/>
                <w:rtl w:val="0"/>
              </w:rPr>
              <w:t xml:space="preserve">185.300,00 </w:t>
            </w:r>
          </w:p>
        </w:tc>
        <w:tc>
          <w:tcPr>
            <w:tcBorders>
              <w:top w:color="000000" w:space="0" w:sz="0" w:val="nil"/>
              <w:left w:color="000000" w:space="0" w:sz="0" w:val="nil"/>
              <w:bottom w:color="000000" w:space="0" w:sz="4" w:val="single"/>
              <w:right w:color="000000" w:space="0" w:sz="4" w:val="single"/>
            </w:tcBorders>
            <w:shd w:fill="ffffff" w:val="clear"/>
            <w:vAlign w:val="bottom"/>
          </w:tcPr>
          <w:p w:rsidR="00000000" w:rsidDel="00000000" w:rsidP="00000000" w:rsidRDefault="00000000" w:rsidRPr="00000000" w14:paraId="000000B8">
            <w:pPr>
              <w:jc w:val="right"/>
              <w:rPr>
                <w:color w:val="000000"/>
                <w:sz w:val="20"/>
                <w:szCs w:val="20"/>
              </w:rPr>
            </w:pPr>
            <w:r w:rsidDel="00000000" w:rsidR="00000000" w:rsidRPr="00000000">
              <w:rPr>
                <w:color w:val="000000"/>
                <w:sz w:val="20"/>
                <w:szCs w:val="20"/>
                <w:rtl w:val="0"/>
              </w:rPr>
              <w:t xml:space="preserve">        100,00 </w:t>
            </w:r>
          </w:p>
        </w:tc>
      </w:tr>
    </w:tbl>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3"/>
          <w:szCs w:val="23"/>
          <w:u w:val="none"/>
          <w:shd w:fill="auto" w:val="clear"/>
          <w:vertAlign w:val="baseline"/>
          <w:rtl w:val="0"/>
        </w:rPr>
        <w:t xml:space="preserve">Tablica 5. Programska djelatnost</w:t>
      </w:r>
    </w:p>
    <w:p w:rsidR="00000000" w:rsidDel="00000000" w:rsidP="00000000" w:rsidRDefault="00000000" w:rsidRPr="00000000" w14:paraId="000000BA">
      <w:pPr>
        <w:pStyle w:val="Heading1"/>
        <w:numPr>
          <w:ilvl w:val="0"/>
          <w:numId w:val="1"/>
        </w:numPr>
        <w:ind w:left="720" w:hanging="360"/>
        <w:rPr/>
      </w:pPr>
      <w:bookmarkStart w:colFirst="0" w:colLast="0" w:name="_heading=h.42sc5uhnp80g" w:id="9"/>
      <w:bookmarkEnd w:id="9"/>
      <w:r w:rsidDel="00000000" w:rsidR="00000000" w:rsidRPr="00000000">
        <w:rPr>
          <w:rtl w:val="0"/>
        </w:rPr>
        <w:t xml:space="preserve">CILJEVI I POKAZATELJI USPJEŠNOSTI</w:t>
      </w:r>
    </w:p>
    <w:p w:rsidR="00000000" w:rsidDel="00000000" w:rsidP="00000000" w:rsidRDefault="00000000" w:rsidRPr="00000000" w14:paraId="000000BB">
      <w:pPr>
        <w:pStyle w:val="Heading1"/>
        <w:rPr/>
      </w:pPr>
      <w:r w:rsidDel="00000000" w:rsidR="00000000" w:rsidRPr="00000000">
        <w:rPr>
          <w:rtl w:val="0"/>
        </w:rPr>
        <w:t xml:space="preserve">POKAZATELJI USPJEŠNOSTI – 2025.</w:t>
      </w:r>
    </w:p>
    <w:tbl>
      <w:tblPr>
        <w:tblStyle w:val="Table6"/>
        <w:tblW w:w="10302.0" w:type="dxa"/>
        <w:jc w:val="left"/>
        <w:tblBorders>
          <w:top w:color="000000" w:space="0" w:sz="4" w:val="dotted"/>
          <w:left w:color="000000" w:space="0" w:sz="4" w:val="dotted"/>
          <w:bottom w:color="000000" w:space="0" w:sz="4" w:val="dotted"/>
          <w:right w:color="000000" w:space="0" w:sz="4" w:val="dotted"/>
          <w:insideH w:color="000000" w:space="0" w:sz="4" w:val="dotted"/>
          <w:insideV w:color="000000" w:space="0" w:sz="4" w:val="dotted"/>
        </w:tblBorders>
        <w:tblLayout w:type="fixed"/>
        <w:tblLook w:val="0400"/>
      </w:tblPr>
      <w:tblGrid>
        <w:gridCol w:w="2534"/>
        <w:gridCol w:w="3307"/>
        <w:gridCol w:w="1685"/>
        <w:gridCol w:w="1886"/>
        <w:gridCol w:w="890"/>
        <w:tblGridChange w:id="0">
          <w:tblGrid>
            <w:gridCol w:w="2534"/>
            <w:gridCol w:w="3307"/>
            <w:gridCol w:w="1685"/>
            <w:gridCol w:w="1886"/>
            <w:gridCol w:w="890"/>
          </w:tblGrid>
        </w:tblGridChange>
      </w:tblGrid>
      <w:tr>
        <w:trPr>
          <w:cantSplit w:val="0"/>
          <w:tblHeader w:val="1"/>
        </w:trPr>
        <w:tc>
          <w:tcPr>
            <w:vAlign w:val="center"/>
          </w:tcPr>
          <w:p w:rsidR="00000000" w:rsidDel="00000000" w:rsidP="00000000" w:rsidRDefault="00000000" w:rsidRPr="00000000" w14:paraId="000000BC">
            <w:pPr>
              <w:jc w:val="center"/>
              <w:rPr>
                <w:b w:val="1"/>
                <w:bCs w:val="1"/>
              </w:rPr>
            </w:pPr>
            <w:r w:rsidDel="00000000" w:rsidR="00000000" w:rsidRPr="00000000">
              <w:rPr>
                <w:b w:val="1"/>
                <w:bCs w:val="1"/>
                <w:rtl w:val="0"/>
              </w:rPr>
              <w:t xml:space="preserve">Cilj</w:t>
            </w:r>
          </w:p>
        </w:tc>
        <w:tc>
          <w:tcPr>
            <w:vAlign w:val="center"/>
          </w:tcPr>
          <w:p w:rsidR="00000000" w:rsidDel="00000000" w:rsidP="00000000" w:rsidRDefault="00000000" w:rsidRPr="00000000" w14:paraId="000000BD">
            <w:pPr>
              <w:jc w:val="center"/>
              <w:rPr>
                <w:b w:val="1"/>
                <w:bCs w:val="1"/>
              </w:rPr>
            </w:pPr>
            <w:r w:rsidDel="00000000" w:rsidR="00000000" w:rsidRPr="00000000">
              <w:rPr>
                <w:b w:val="1"/>
                <w:bCs w:val="1"/>
                <w:rtl w:val="0"/>
              </w:rPr>
              <w:t xml:space="preserve">Pokazatelj</w:t>
            </w:r>
          </w:p>
        </w:tc>
        <w:tc>
          <w:tcPr>
            <w:vAlign w:val="center"/>
          </w:tcPr>
          <w:p w:rsidR="00000000" w:rsidDel="00000000" w:rsidP="00000000" w:rsidRDefault="00000000" w:rsidRPr="00000000" w14:paraId="000000BE">
            <w:pPr>
              <w:jc w:val="center"/>
              <w:rPr>
                <w:b w:val="1"/>
                <w:bCs w:val="1"/>
              </w:rPr>
            </w:pPr>
            <w:r w:rsidDel="00000000" w:rsidR="00000000" w:rsidRPr="00000000">
              <w:rPr>
                <w:b w:val="1"/>
                <w:bCs w:val="1"/>
                <w:rtl w:val="0"/>
              </w:rPr>
              <w:t xml:space="preserve">Planirana vrijednost 2025.</w:t>
            </w:r>
          </w:p>
        </w:tc>
        <w:tc>
          <w:tcPr>
            <w:vAlign w:val="center"/>
          </w:tcPr>
          <w:p w:rsidR="00000000" w:rsidDel="00000000" w:rsidP="00000000" w:rsidRDefault="00000000" w:rsidRPr="00000000" w14:paraId="000000BF">
            <w:pPr>
              <w:jc w:val="center"/>
              <w:rPr>
                <w:b w:val="1"/>
                <w:bCs w:val="1"/>
              </w:rPr>
            </w:pPr>
            <w:r w:rsidDel="00000000" w:rsidR="00000000" w:rsidRPr="00000000">
              <w:rPr>
                <w:b w:val="1"/>
                <w:bCs w:val="1"/>
                <w:rtl w:val="0"/>
              </w:rPr>
              <w:t xml:space="preserve">Ostvarena vrijednost 2025.</w:t>
            </w:r>
          </w:p>
        </w:tc>
        <w:tc>
          <w:tcPr>
            <w:vAlign w:val="center"/>
          </w:tcPr>
          <w:p w:rsidR="00000000" w:rsidDel="00000000" w:rsidP="00000000" w:rsidRDefault="00000000" w:rsidRPr="00000000" w14:paraId="000000C0">
            <w:pPr>
              <w:jc w:val="center"/>
              <w:rPr>
                <w:b w:val="1"/>
                <w:bCs w:val="1"/>
              </w:rPr>
            </w:pPr>
            <w:r w:rsidDel="00000000" w:rsidR="00000000" w:rsidRPr="00000000">
              <w:rPr>
                <w:b w:val="1"/>
                <w:bCs w:val="1"/>
                <w:rtl w:val="0"/>
              </w:rPr>
              <w:t xml:space="preserve">Indeks (%)</w:t>
            </w:r>
          </w:p>
        </w:tc>
      </w:tr>
      <w:tr>
        <w:trPr>
          <w:cantSplit w:val="0"/>
          <w:tblHeader w:val="0"/>
        </w:trPr>
        <w:tc>
          <w:tcPr>
            <w:vAlign w:val="center"/>
          </w:tcPr>
          <w:p w:rsidR="00000000" w:rsidDel="00000000" w:rsidP="00000000" w:rsidRDefault="00000000" w:rsidRPr="00000000" w14:paraId="000000C1">
            <w:pPr>
              <w:rPr/>
            </w:pPr>
            <w:r w:rsidDel="00000000" w:rsidR="00000000" w:rsidRPr="00000000">
              <w:rPr>
                <w:rtl w:val="0"/>
              </w:rPr>
              <w:t xml:space="preserve">Provedba kulturnih i edukativnih programa</w:t>
            </w:r>
          </w:p>
        </w:tc>
        <w:tc>
          <w:tcPr>
            <w:vAlign w:val="center"/>
          </w:tcPr>
          <w:p w:rsidR="00000000" w:rsidDel="00000000" w:rsidP="00000000" w:rsidRDefault="00000000" w:rsidRPr="00000000" w14:paraId="000000C2">
            <w:pPr>
              <w:rPr/>
            </w:pPr>
            <w:r w:rsidDel="00000000" w:rsidR="00000000" w:rsidRPr="00000000">
              <w:rPr>
                <w:rtl w:val="0"/>
              </w:rPr>
              <w:t xml:space="preserve">Broj realiziranih radionica u okviru SPARK-a</w:t>
            </w:r>
          </w:p>
        </w:tc>
        <w:tc>
          <w:tcPr>
            <w:vAlign w:val="center"/>
          </w:tcPr>
          <w:p w:rsidR="00000000" w:rsidDel="00000000" w:rsidP="00000000" w:rsidRDefault="00000000" w:rsidRPr="00000000" w14:paraId="000000C3">
            <w:pPr>
              <w:rPr/>
            </w:pPr>
            <w:r w:rsidDel="00000000" w:rsidR="00000000" w:rsidRPr="00000000">
              <w:rPr>
                <w:rtl w:val="0"/>
              </w:rPr>
              <w:t xml:space="preserve">240</w:t>
            </w:r>
          </w:p>
        </w:tc>
        <w:tc>
          <w:tcPr>
            <w:vAlign w:val="center"/>
          </w:tcPr>
          <w:p w:rsidR="00000000" w:rsidDel="00000000" w:rsidP="00000000" w:rsidRDefault="00000000" w:rsidRPr="00000000" w14:paraId="000000C4">
            <w:pPr>
              <w:rPr/>
            </w:pPr>
            <w:r w:rsidDel="00000000" w:rsidR="00000000" w:rsidRPr="00000000">
              <w:rPr>
                <w:rtl w:val="0"/>
              </w:rPr>
              <w:t xml:space="preserve">240</w:t>
            </w:r>
          </w:p>
        </w:tc>
        <w:tc>
          <w:tcPr>
            <w:vAlign w:val="center"/>
          </w:tcPr>
          <w:p w:rsidR="00000000" w:rsidDel="00000000" w:rsidP="00000000" w:rsidRDefault="00000000" w:rsidRPr="00000000" w14:paraId="000000C5">
            <w:pPr>
              <w:rPr/>
            </w:pPr>
            <w:r w:rsidDel="00000000" w:rsidR="00000000" w:rsidRPr="00000000">
              <w:rPr>
                <w:rtl w:val="0"/>
              </w:rPr>
              <w:t xml:space="preserve">100</w:t>
            </w:r>
          </w:p>
        </w:tc>
      </w:tr>
      <w:tr>
        <w:trPr>
          <w:cantSplit w:val="0"/>
          <w:tblHeader w:val="0"/>
        </w:trPr>
        <w:tc>
          <w:tcPr>
            <w:vAlign w:val="center"/>
          </w:tcPr>
          <w:p w:rsidR="00000000" w:rsidDel="00000000" w:rsidP="00000000" w:rsidRDefault="00000000" w:rsidRPr="00000000" w14:paraId="000000C6">
            <w:pPr>
              <w:rPr/>
            </w:pPr>
            <w:r w:rsidDel="00000000" w:rsidR="00000000" w:rsidRPr="00000000">
              <w:rPr>
                <w:rtl w:val="0"/>
              </w:rPr>
              <w:t xml:space="preserve">Povećanje dostupnosti kulture djeci</w:t>
            </w:r>
          </w:p>
        </w:tc>
        <w:tc>
          <w:tcPr>
            <w:vAlign w:val="center"/>
          </w:tcPr>
          <w:p w:rsidR="00000000" w:rsidDel="00000000" w:rsidP="00000000" w:rsidRDefault="00000000" w:rsidRPr="00000000" w14:paraId="000000C7">
            <w:pPr>
              <w:rPr/>
            </w:pPr>
            <w:r w:rsidDel="00000000" w:rsidR="00000000" w:rsidRPr="00000000">
              <w:rPr>
                <w:rtl w:val="0"/>
              </w:rPr>
              <w:t xml:space="preserve">Broj uključenih djece u program „Radost s Ribnjaka“</w:t>
            </w:r>
          </w:p>
        </w:tc>
        <w:tc>
          <w:tcPr>
            <w:vAlign w:val="center"/>
          </w:tcPr>
          <w:p w:rsidR="00000000" w:rsidDel="00000000" w:rsidP="00000000" w:rsidRDefault="00000000" w:rsidRPr="00000000" w14:paraId="000000C8">
            <w:pPr>
              <w:rPr/>
            </w:pPr>
            <w:r w:rsidDel="00000000" w:rsidR="00000000" w:rsidRPr="00000000">
              <w:rPr>
                <w:rtl w:val="0"/>
              </w:rPr>
              <w:t xml:space="preserve">300</w:t>
            </w:r>
          </w:p>
        </w:tc>
        <w:tc>
          <w:tcPr>
            <w:vAlign w:val="center"/>
          </w:tcPr>
          <w:p w:rsidR="00000000" w:rsidDel="00000000" w:rsidP="00000000" w:rsidRDefault="00000000" w:rsidRPr="00000000" w14:paraId="000000C9">
            <w:pPr>
              <w:rPr/>
            </w:pPr>
            <w:r w:rsidDel="00000000" w:rsidR="00000000" w:rsidRPr="00000000">
              <w:rPr>
                <w:rtl w:val="0"/>
              </w:rPr>
              <w:t xml:space="preserve">350</w:t>
            </w:r>
          </w:p>
        </w:tc>
        <w:tc>
          <w:tcPr>
            <w:vAlign w:val="center"/>
          </w:tcPr>
          <w:p w:rsidR="00000000" w:rsidDel="00000000" w:rsidP="00000000" w:rsidRDefault="00000000" w:rsidRPr="00000000" w14:paraId="000000CA">
            <w:pPr>
              <w:rPr/>
            </w:pPr>
            <w:r w:rsidDel="00000000" w:rsidR="00000000" w:rsidRPr="00000000">
              <w:rPr>
                <w:rtl w:val="0"/>
              </w:rPr>
              <w:t xml:space="preserve">117</w:t>
            </w:r>
          </w:p>
        </w:tc>
      </w:tr>
      <w:tr>
        <w:trPr>
          <w:cantSplit w:val="0"/>
          <w:tblHeader w:val="0"/>
        </w:trPr>
        <w:tc>
          <w:tcPr>
            <w:vAlign w:val="center"/>
          </w:tcPr>
          <w:p w:rsidR="00000000" w:rsidDel="00000000" w:rsidP="00000000" w:rsidRDefault="00000000" w:rsidRPr="00000000" w14:paraId="000000CB">
            <w:pPr>
              <w:rPr/>
            </w:pPr>
            <w:r w:rsidDel="00000000" w:rsidR="00000000" w:rsidRPr="00000000">
              <w:rPr>
                <w:rtl w:val="0"/>
              </w:rPr>
              <w:t xml:space="preserve">Razvoj novih programskih formata</w:t>
            </w:r>
          </w:p>
        </w:tc>
        <w:tc>
          <w:tcPr>
            <w:vAlign w:val="center"/>
          </w:tcPr>
          <w:p w:rsidR="00000000" w:rsidDel="00000000" w:rsidP="00000000" w:rsidRDefault="00000000" w:rsidRPr="00000000" w14:paraId="000000CC">
            <w:pPr>
              <w:rPr/>
            </w:pPr>
            <w:r w:rsidDel="00000000" w:rsidR="00000000" w:rsidRPr="00000000">
              <w:rPr>
                <w:rtl w:val="0"/>
              </w:rPr>
              <w:t xml:space="preserve">Broj novih pokrenutih programa (Scena Piano, Dan koji se pamti)</w:t>
            </w:r>
          </w:p>
        </w:tc>
        <w:tc>
          <w:tcPr>
            <w:vAlign w:val="center"/>
          </w:tcPr>
          <w:p w:rsidR="00000000" w:rsidDel="00000000" w:rsidP="00000000" w:rsidRDefault="00000000" w:rsidRPr="00000000" w14:paraId="000000CD">
            <w:pPr>
              <w:rPr/>
            </w:pPr>
            <w:r w:rsidDel="00000000" w:rsidR="00000000" w:rsidRPr="00000000">
              <w:rPr>
                <w:rtl w:val="0"/>
              </w:rPr>
              <w:t xml:space="preserve">1</w:t>
            </w:r>
          </w:p>
        </w:tc>
        <w:tc>
          <w:tcPr>
            <w:vAlign w:val="center"/>
          </w:tcPr>
          <w:p w:rsidR="00000000" w:rsidDel="00000000" w:rsidP="00000000" w:rsidRDefault="00000000" w:rsidRPr="00000000" w14:paraId="000000CE">
            <w:pPr>
              <w:rPr/>
            </w:pPr>
            <w:r w:rsidDel="00000000" w:rsidR="00000000" w:rsidRPr="00000000">
              <w:rPr>
                <w:rtl w:val="0"/>
              </w:rPr>
              <w:t xml:space="preserve">2</w:t>
            </w:r>
          </w:p>
        </w:tc>
        <w:tc>
          <w:tcPr>
            <w:vAlign w:val="center"/>
          </w:tcPr>
          <w:p w:rsidR="00000000" w:rsidDel="00000000" w:rsidP="00000000" w:rsidRDefault="00000000" w:rsidRPr="00000000" w14:paraId="000000CF">
            <w:pPr>
              <w:rPr/>
            </w:pPr>
            <w:r w:rsidDel="00000000" w:rsidR="00000000" w:rsidRPr="00000000">
              <w:rPr>
                <w:rtl w:val="0"/>
              </w:rPr>
              <w:t xml:space="preserve">200</w:t>
            </w:r>
          </w:p>
        </w:tc>
      </w:tr>
      <w:tr>
        <w:trPr>
          <w:cantSplit w:val="0"/>
          <w:tblHeader w:val="0"/>
        </w:trPr>
        <w:tc>
          <w:tcPr>
            <w:vAlign w:val="center"/>
          </w:tcPr>
          <w:p w:rsidR="00000000" w:rsidDel="00000000" w:rsidP="00000000" w:rsidRDefault="00000000" w:rsidRPr="00000000" w14:paraId="000000D0">
            <w:pPr>
              <w:rPr/>
            </w:pPr>
            <w:r w:rsidDel="00000000" w:rsidR="00000000" w:rsidRPr="00000000">
              <w:rPr>
                <w:rtl w:val="0"/>
              </w:rPr>
              <w:t xml:space="preserve">Financijska disciplina</w:t>
            </w:r>
          </w:p>
        </w:tc>
        <w:tc>
          <w:tcPr>
            <w:vAlign w:val="center"/>
          </w:tcPr>
          <w:p w:rsidR="00000000" w:rsidDel="00000000" w:rsidP="00000000" w:rsidRDefault="00000000" w:rsidRPr="00000000" w14:paraId="000000D1">
            <w:pPr>
              <w:rPr/>
            </w:pPr>
            <w:r w:rsidDel="00000000" w:rsidR="00000000" w:rsidRPr="00000000">
              <w:rPr>
                <w:rtl w:val="0"/>
              </w:rPr>
              <w:t xml:space="preserve">Indeks izvršenja rashoda poslovanja</w:t>
            </w:r>
          </w:p>
        </w:tc>
        <w:tc>
          <w:tcPr>
            <w:vAlign w:val="center"/>
          </w:tcPr>
          <w:p w:rsidR="00000000" w:rsidDel="00000000" w:rsidP="00000000" w:rsidRDefault="00000000" w:rsidRPr="00000000" w14:paraId="000000D2">
            <w:pPr>
              <w:rPr/>
            </w:pPr>
            <w:r w:rsidDel="00000000" w:rsidR="00000000" w:rsidRPr="00000000">
              <w:rPr>
                <w:rtl w:val="0"/>
              </w:rPr>
              <w:t xml:space="preserve">100 %</w:t>
            </w:r>
          </w:p>
        </w:tc>
        <w:tc>
          <w:tcPr>
            <w:vAlign w:val="center"/>
          </w:tcPr>
          <w:p w:rsidR="00000000" w:rsidDel="00000000" w:rsidP="00000000" w:rsidRDefault="00000000" w:rsidRPr="00000000" w14:paraId="000000D3">
            <w:pPr>
              <w:rPr/>
            </w:pPr>
            <w:r w:rsidDel="00000000" w:rsidR="00000000" w:rsidRPr="00000000">
              <w:rPr>
                <w:rtl w:val="0"/>
              </w:rPr>
              <w:t xml:space="preserve">96,38 %</w:t>
            </w:r>
          </w:p>
        </w:tc>
        <w:tc>
          <w:tcPr>
            <w:vAlign w:val="center"/>
          </w:tcPr>
          <w:p w:rsidR="00000000" w:rsidDel="00000000" w:rsidP="00000000" w:rsidRDefault="00000000" w:rsidRPr="00000000" w14:paraId="000000D4">
            <w:pPr>
              <w:rPr/>
            </w:pPr>
            <w:r w:rsidDel="00000000" w:rsidR="00000000" w:rsidRPr="00000000">
              <w:rPr>
                <w:rtl w:val="0"/>
              </w:rPr>
              <w:t xml:space="preserve">96,38</w:t>
            </w:r>
          </w:p>
        </w:tc>
      </w:tr>
      <w:tr>
        <w:trPr>
          <w:cantSplit w:val="0"/>
          <w:tblHeader w:val="0"/>
        </w:trPr>
        <w:tc>
          <w:tcPr>
            <w:vAlign w:val="center"/>
          </w:tcPr>
          <w:p w:rsidR="00000000" w:rsidDel="00000000" w:rsidP="00000000" w:rsidRDefault="00000000" w:rsidRPr="00000000" w14:paraId="000000D5">
            <w:pPr>
              <w:rPr/>
            </w:pPr>
            <w:r w:rsidDel="00000000" w:rsidR="00000000" w:rsidRPr="00000000">
              <w:rPr>
                <w:rtl w:val="0"/>
              </w:rPr>
              <w:t xml:space="preserve">Jačanje vlastitih prihoda</w:t>
            </w:r>
          </w:p>
        </w:tc>
        <w:tc>
          <w:tcPr>
            <w:vAlign w:val="center"/>
          </w:tcPr>
          <w:p w:rsidR="00000000" w:rsidDel="00000000" w:rsidP="00000000" w:rsidRDefault="00000000" w:rsidRPr="00000000" w14:paraId="000000D6">
            <w:pPr>
              <w:rPr/>
            </w:pPr>
            <w:r w:rsidDel="00000000" w:rsidR="00000000" w:rsidRPr="00000000">
              <w:rPr>
                <w:rtl w:val="0"/>
              </w:rPr>
              <w:t xml:space="preserve">Udio vlastitih prihoda u ukupnim prihodima</w:t>
            </w:r>
          </w:p>
        </w:tc>
        <w:tc>
          <w:tcPr>
            <w:vAlign w:val="center"/>
          </w:tcPr>
          <w:p w:rsidR="00000000" w:rsidDel="00000000" w:rsidP="00000000" w:rsidRDefault="00000000" w:rsidRPr="00000000" w14:paraId="000000D7">
            <w:pPr>
              <w:rPr/>
            </w:pPr>
            <w:r w:rsidDel="00000000" w:rsidR="00000000" w:rsidRPr="00000000">
              <w:rPr>
                <w:rtl w:val="0"/>
              </w:rPr>
              <w:t xml:space="preserve">13 %</w:t>
            </w:r>
          </w:p>
        </w:tc>
        <w:tc>
          <w:tcPr>
            <w:vAlign w:val="center"/>
          </w:tcPr>
          <w:p w:rsidR="00000000" w:rsidDel="00000000" w:rsidP="00000000" w:rsidRDefault="00000000" w:rsidRPr="00000000" w14:paraId="000000D8">
            <w:pPr>
              <w:rPr/>
            </w:pPr>
            <w:r w:rsidDel="00000000" w:rsidR="00000000" w:rsidRPr="00000000">
              <w:rPr>
                <w:rtl w:val="0"/>
              </w:rPr>
              <w:t xml:space="preserve">13,98 %</w:t>
            </w:r>
          </w:p>
        </w:tc>
        <w:tc>
          <w:tcPr>
            <w:vAlign w:val="center"/>
          </w:tcPr>
          <w:p w:rsidR="00000000" w:rsidDel="00000000" w:rsidP="00000000" w:rsidRDefault="00000000" w:rsidRPr="00000000" w14:paraId="000000D9">
            <w:pPr>
              <w:rPr/>
            </w:pPr>
            <w:r w:rsidDel="00000000" w:rsidR="00000000" w:rsidRPr="00000000">
              <w:rPr>
                <w:rtl w:val="0"/>
              </w:rPr>
              <w:t xml:space="preserve">107,5</w:t>
            </w:r>
          </w:p>
        </w:tc>
      </w:tr>
      <w:tr>
        <w:trPr>
          <w:cantSplit w:val="0"/>
          <w:tblHeader w:val="0"/>
        </w:trPr>
        <w:tc>
          <w:tcPr>
            <w:vAlign w:val="center"/>
          </w:tcPr>
          <w:p w:rsidR="00000000" w:rsidDel="00000000" w:rsidP="00000000" w:rsidRDefault="00000000" w:rsidRPr="00000000" w14:paraId="000000DA">
            <w:pPr>
              <w:rPr/>
            </w:pPr>
            <w:r w:rsidDel="00000000" w:rsidR="00000000" w:rsidRPr="00000000">
              <w:rPr>
                <w:rtl w:val="0"/>
              </w:rPr>
              <w:t xml:space="preserve">Stabilnost poslovanja</w:t>
            </w:r>
          </w:p>
        </w:tc>
        <w:tc>
          <w:tcPr>
            <w:vAlign w:val="center"/>
          </w:tcPr>
          <w:p w:rsidR="00000000" w:rsidDel="00000000" w:rsidP="00000000" w:rsidRDefault="00000000" w:rsidRPr="00000000" w14:paraId="000000DB">
            <w:pPr>
              <w:rPr/>
            </w:pPr>
            <w:r w:rsidDel="00000000" w:rsidR="00000000" w:rsidRPr="00000000">
              <w:rPr>
                <w:rtl w:val="0"/>
              </w:rPr>
              <w:t xml:space="preserve">Dospjele nepodmirene obveze na dan 31.12.</w:t>
            </w:r>
          </w:p>
        </w:tc>
        <w:tc>
          <w:tcPr>
            <w:vAlign w:val="center"/>
          </w:tcPr>
          <w:p w:rsidR="00000000" w:rsidDel="00000000" w:rsidP="00000000" w:rsidRDefault="00000000" w:rsidRPr="00000000" w14:paraId="000000DC">
            <w:pPr>
              <w:rPr/>
            </w:pPr>
            <w:r w:rsidDel="00000000" w:rsidR="00000000" w:rsidRPr="00000000">
              <w:rPr>
                <w:rtl w:val="0"/>
              </w:rPr>
              <w:t xml:space="preserve">0</w:t>
            </w:r>
          </w:p>
        </w:tc>
        <w:tc>
          <w:tcPr>
            <w:vAlign w:val="center"/>
          </w:tcPr>
          <w:p w:rsidR="00000000" w:rsidDel="00000000" w:rsidP="00000000" w:rsidRDefault="00000000" w:rsidRPr="00000000" w14:paraId="000000DD">
            <w:pPr>
              <w:rPr/>
            </w:pPr>
            <w:r w:rsidDel="00000000" w:rsidR="00000000" w:rsidRPr="00000000">
              <w:rPr>
                <w:rtl w:val="0"/>
              </w:rPr>
              <w:t xml:space="preserve">0</w:t>
            </w:r>
          </w:p>
        </w:tc>
        <w:tc>
          <w:tcPr>
            <w:vAlign w:val="center"/>
          </w:tcPr>
          <w:p w:rsidR="00000000" w:rsidDel="00000000" w:rsidP="00000000" w:rsidRDefault="00000000" w:rsidRPr="00000000" w14:paraId="000000DE">
            <w:pPr>
              <w:rPr/>
            </w:pPr>
            <w:r w:rsidDel="00000000" w:rsidR="00000000" w:rsidRPr="00000000">
              <w:rPr>
                <w:rtl w:val="0"/>
              </w:rPr>
              <w:t xml:space="preserve">100</w:t>
            </w:r>
          </w:p>
        </w:tc>
      </w:tr>
      <w:tr>
        <w:trPr>
          <w:cantSplit w:val="0"/>
          <w:tblHeader w:val="0"/>
        </w:trPr>
        <w:tc>
          <w:tcPr>
            <w:vAlign w:val="center"/>
          </w:tcPr>
          <w:p w:rsidR="00000000" w:rsidDel="00000000" w:rsidP="00000000" w:rsidRDefault="00000000" w:rsidRPr="00000000" w14:paraId="000000DF">
            <w:pPr>
              <w:rPr/>
            </w:pPr>
            <w:r w:rsidDel="00000000" w:rsidR="00000000" w:rsidRPr="00000000">
              <w:rPr>
                <w:rtl w:val="0"/>
              </w:rPr>
              <w:t xml:space="preserve">Međunarodna vidljivost i inovativnost</w:t>
            </w:r>
          </w:p>
        </w:tc>
        <w:tc>
          <w:tcPr>
            <w:vAlign w:val="center"/>
          </w:tcPr>
          <w:p w:rsidR="00000000" w:rsidDel="00000000" w:rsidP="00000000" w:rsidRDefault="00000000" w:rsidRPr="00000000" w14:paraId="000000E0">
            <w:pPr>
              <w:rPr/>
            </w:pPr>
            <w:r w:rsidDel="00000000" w:rsidR="00000000" w:rsidRPr="00000000">
              <w:rPr>
                <w:rtl w:val="0"/>
              </w:rPr>
              <w:t xml:space="preserve">Osvojene međunarodne nagrade</w:t>
            </w:r>
          </w:p>
        </w:tc>
        <w:tc>
          <w:tcPr>
            <w:vAlign w:val="center"/>
          </w:tcPr>
          <w:p w:rsidR="00000000" w:rsidDel="00000000" w:rsidP="00000000" w:rsidRDefault="00000000" w:rsidRPr="00000000" w14:paraId="000000E1">
            <w:pPr>
              <w:rPr/>
            </w:pPr>
            <w:r w:rsidDel="00000000" w:rsidR="00000000" w:rsidRPr="00000000">
              <w:rPr>
                <w:rtl w:val="0"/>
              </w:rPr>
              <w:t xml:space="preserve">0</w:t>
            </w:r>
          </w:p>
        </w:tc>
        <w:tc>
          <w:tcPr>
            <w:vAlign w:val="center"/>
          </w:tcPr>
          <w:p w:rsidR="00000000" w:rsidDel="00000000" w:rsidP="00000000" w:rsidRDefault="00000000" w:rsidRPr="00000000" w14:paraId="000000E2">
            <w:pPr>
              <w:rPr/>
            </w:pPr>
            <w:r w:rsidDel="00000000" w:rsidR="00000000" w:rsidRPr="00000000">
              <w:rPr>
                <w:rtl w:val="0"/>
              </w:rPr>
              <w:t xml:space="preserve">1 (SozialMarie)</w:t>
            </w:r>
          </w:p>
        </w:tc>
        <w:tc>
          <w:tcPr>
            <w:vAlign w:val="center"/>
          </w:tcPr>
          <w:p w:rsidR="00000000" w:rsidDel="00000000" w:rsidP="00000000" w:rsidRDefault="00000000" w:rsidRPr="00000000" w14:paraId="000000E3">
            <w:pPr>
              <w:rPr/>
            </w:pPr>
            <w:r w:rsidDel="00000000" w:rsidR="00000000" w:rsidRPr="00000000">
              <w:rPr>
                <w:rtl w:val="0"/>
              </w:rPr>
              <w:t xml:space="preserve">–*</w:t>
            </w:r>
          </w:p>
        </w:tc>
      </w:tr>
    </w:tbl>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righ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Ravnateljica: </w:t>
      </w:r>
    </w:p>
    <w:p w:rsidR="00000000" w:rsidDel="00000000" w:rsidP="00000000" w:rsidRDefault="00000000" w:rsidRPr="00000000" w14:paraId="000000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right"/>
        <w:rPr>
          <w:rFonts w:ascii="Arial" w:cs="Arial" w:eastAsia="Arial" w:hAnsi="Arial"/>
          <w:b w:val="0"/>
          <w:bCs w:val="0"/>
          <w:i w:val="0"/>
          <w:iCs w:val="0"/>
          <w:smallCaps w:val="0"/>
          <w:strike w:val="0"/>
          <w:color w:val="000000"/>
          <w:sz w:val="23"/>
          <w:szCs w:val="23"/>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3"/>
          <w:szCs w:val="23"/>
          <w:u w:val="none"/>
          <w:shd w:fill="auto" w:val="clear"/>
          <w:vertAlign w:val="baseline"/>
          <w:rtl w:val="0"/>
        </w:rPr>
        <w:t xml:space="preserve">Pavlica Bajsić</w:t>
      </w:r>
    </w:p>
    <w:sectPr>
      <w:headerReference r:id="rId9" w:type="default"/>
      <w:footerReference r:id="rId10" w:type="default"/>
      <w:pgSz w:h="15840" w:w="12240" w:orient="portrait"/>
      <w:pgMar w:bottom="964" w:top="964" w:left="964" w:right="964" w:header="567" w:footer="28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76" w:lineRule="auto"/>
      <w:ind w:left="0" w:right="0" w:firstLine="0"/>
      <w:jc w:val="center"/>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Helvetica Neue" w:cs="Helvetica Neue" w:eastAsia="Helvetica Neue" w:hAnsi="Helvetica Neue"/>
        <w:b w:val="1"/>
        <w:bCs w:val="1"/>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1"/>
        <w:bCs w:val="1"/>
        <w:i w:val="0"/>
        <w:iCs w:val="0"/>
        <w:smallCaps w:val="0"/>
        <w:strike w:val="0"/>
        <w:color w:val="000000"/>
        <w:sz w:val="16"/>
        <w:szCs w:val="16"/>
        <w:u w:val="none"/>
        <w:shd w:fill="auto" w:val="clear"/>
        <w:vertAlign w:val="baseline"/>
        <w:rtl w:val="0"/>
      </w:rPr>
      <w:t xml:space="preserve">C E N T A R   K U L T U R E   R I B N J A K</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Park Ribnjak 1, 10000 Zagreb, </w:t>
    </w:r>
    <w:hyperlink r:id="rId1">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www.ribnjak.hr</w:t>
      </w:r>
    </w:hyperlink>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 </w:t>
    </w:r>
    <w:hyperlink r:id="rId2">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ribnjak@ribnjak.hr</w:t>
      </w:r>
    </w:hyperlink>
    <w:r w:rsidDel="00000000" w:rsidR="00000000" w:rsidRPr="00000000">
      <w:rPr>
        <w:rFonts w:ascii="Helvetica Neue" w:cs="Helvetica Neue" w:eastAsia="Helvetica Neue" w:hAnsi="Helvetica Neue"/>
        <w:b w:val="0"/>
        <w:bCs w:val="0"/>
        <w:i w:val="0"/>
        <w:iCs w:val="0"/>
        <w:smallCaps w:val="0"/>
        <w:strike w:val="0"/>
        <w:color w:val="000000"/>
        <w:sz w:val="16"/>
        <w:szCs w:val="16"/>
        <w:u w:val="none"/>
        <w:shd w:fill="auto" w:val="clear"/>
        <w:vertAlign w:val="baseline"/>
        <w:rtl w:val="0"/>
      </w:rPr>
      <w:t xml:space="preserve">, + 385 1 4814 734</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Helvetica Neue" w:cs="Helvetica Neue" w:eastAsia="Helvetica Neue" w:hAnsi="Helvetica Neue"/>
        <w:b w:val="0"/>
        <w:bCs w:val="0"/>
        <w:i w:val="0"/>
        <w:iCs w:val="0"/>
        <w:smallCaps w:val="0"/>
        <w:strike w:val="0"/>
        <w:color w:val="7f7f7f"/>
        <w:sz w:val="16"/>
        <w:szCs w:val="16"/>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7f7f7f"/>
        <w:sz w:val="16"/>
        <w:szCs w:val="16"/>
        <w:u w:val="none"/>
        <w:shd w:fill="auto" w:val="clear"/>
        <w:vertAlign w:val="baseline"/>
        <w:rtl w:val="0"/>
      </w:rPr>
      <w:t xml:space="preserve">IBAN HR8724020061101143335, MBO 3278328, OIB 45058007791</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Helvetica Neue" w:cs="Helvetica Neue" w:eastAsia="Helvetica Neue" w:hAnsi="Helvetica Neue"/>
        <w:b w:val="1"/>
        <w:bCs w:val="1"/>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777873" cy="1566738"/>
          <wp:effectExtent b="0" l="0" r="0" t="0"/>
          <wp:docPr id="133458358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7873" cy="1566738"/>
                  </a:xfrm>
                  <a:prstGeom prst="rect"/>
                  <a:ln/>
                </pic:spPr>
              </pic:pic>
            </a:graphicData>
          </a:graphic>
        </wp:inline>
      </w:drawing>
    </w:r>
    <w:r w:rsidDel="00000000" w:rsidR="00000000" w:rsidRPr="00000000">
      <w:rPr>
        <w:rtl w:val="0"/>
      </w:rPr>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1.%2."/>
      <w:lvlJc w:val="left"/>
      <w:pPr>
        <w:ind w:left="1080" w:hanging="720"/>
      </w:pPr>
      <w:rPr/>
    </w:lvl>
    <w:lvl w:ilvl="2">
      <w:start w:val="1"/>
      <w:numFmt w:val="decimal"/>
      <w:lvlText w:val="%1.%2.%3."/>
      <w:lvlJc w:val="left"/>
      <w:pPr>
        <w:ind w:left="1440" w:hanging="1080"/>
      </w:pPr>
      <w:rPr/>
    </w:lvl>
    <w:lvl w:ilvl="3">
      <w:start w:val="1"/>
      <w:numFmt w:val="decimal"/>
      <w:lvlText w:val="%1.%2.%3.%4."/>
      <w:lvlJc w:val="left"/>
      <w:pPr>
        <w:ind w:left="1800" w:hanging="1440"/>
      </w:pPr>
      <w:rPr/>
    </w:lvl>
    <w:lvl w:ilvl="4">
      <w:start w:val="1"/>
      <w:numFmt w:val="decimal"/>
      <w:lvlText w:val="%1.%2.%3.%4.%5."/>
      <w:lvlJc w:val="left"/>
      <w:pPr>
        <w:ind w:left="2160" w:hanging="1800"/>
      </w:pPr>
      <w:rPr/>
    </w:lvl>
    <w:lvl w:ilvl="5">
      <w:start w:val="1"/>
      <w:numFmt w:val="decimal"/>
      <w:lvlText w:val="%1.%2.%3.%4.%5.%6."/>
      <w:lvlJc w:val="left"/>
      <w:pPr>
        <w:ind w:left="2160" w:hanging="1800"/>
      </w:pPr>
      <w:rPr/>
    </w:lvl>
    <w:lvl w:ilvl="6">
      <w:start w:val="1"/>
      <w:numFmt w:val="decimal"/>
      <w:lvlText w:val="%1.%2.%3.%4.%5.%6.%7."/>
      <w:lvlJc w:val="left"/>
      <w:pPr>
        <w:ind w:left="2520" w:hanging="2160"/>
      </w:pPr>
      <w:rPr/>
    </w:lvl>
    <w:lvl w:ilvl="7">
      <w:start w:val="1"/>
      <w:numFmt w:val="decimal"/>
      <w:lvlText w:val="%1.%2.%3.%4.%5.%6.%7.%8."/>
      <w:lvlJc w:val="left"/>
      <w:pPr>
        <w:ind w:left="2880" w:hanging="2520"/>
      </w:pPr>
      <w:rPr/>
    </w:lvl>
    <w:lvl w:ilvl="8">
      <w:start w:val="1"/>
      <w:numFmt w:val="decimal"/>
      <w:lvlText w:val="%1.%2.%3.%4.%5.%6.%7.%8.%9."/>
      <w:lvlJc w:val="left"/>
      <w:pPr>
        <w:ind w:left="3240" w:hanging="28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hr"/>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aslov7">
    <w:name w:val="heading 7"/>
    <w:basedOn w:val="Normal"/>
    <w:next w:val="Normal"/>
    <w:link w:val="Naslov7Char"/>
    <w:uiPriority w:val="9"/>
    <w:semiHidden w:val="1"/>
    <w:unhideWhenUsed w:val="1"/>
    <w:qFormat w:val="1"/>
    <w:rsid w:val="00170905"/>
    <w:pPr>
      <w:keepNext w:val="1"/>
      <w:keepLines w:val="1"/>
      <w:spacing w:after="0" w:before="40"/>
      <w:outlineLvl w:val="6"/>
    </w:pPr>
    <w:rPr>
      <w:rFonts w:cstheme="majorBidi" w:eastAsiaTheme="majorEastAsia"/>
      <w:color w:val="595959" w:themeColor="text1" w:themeTint="0000A6"/>
    </w:rPr>
  </w:style>
  <w:style w:type="paragraph" w:styleId="Naslov8">
    <w:name w:val="heading 8"/>
    <w:basedOn w:val="Normal"/>
    <w:next w:val="Normal"/>
    <w:link w:val="Naslov8Char"/>
    <w:uiPriority w:val="9"/>
    <w:semiHidden w:val="1"/>
    <w:unhideWhenUsed w:val="1"/>
    <w:qFormat w:val="1"/>
    <w:rsid w:val="00170905"/>
    <w:pPr>
      <w:keepNext w:val="1"/>
      <w:keepLines w:val="1"/>
      <w:spacing w:after="0"/>
      <w:outlineLvl w:val="7"/>
    </w:pPr>
    <w:rPr>
      <w:rFonts w:cstheme="majorBidi" w:eastAsiaTheme="majorEastAsia"/>
      <w:i w:val="1"/>
      <w:iCs w:val="1"/>
      <w:color w:val="272727" w:themeColor="text1" w:themeTint="0000D8"/>
    </w:rPr>
  </w:style>
  <w:style w:type="paragraph" w:styleId="Naslov9">
    <w:name w:val="heading 9"/>
    <w:basedOn w:val="Normal"/>
    <w:next w:val="Normal"/>
    <w:link w:val="Naslov9Char"/>
    <w:uiPriority w:val="9"/>
    <w:semiHidden w:val="1"/>
    <w:unhideWhenUsed w:val="1"/>
    <w:qFormat w:val="1"/>
    <w:rsid w:val="00170905"/>
    <w:pPr>
      <w:keepNext w:val="1"/>
      <w:keepLines w:val="1"/>
      <w:spacing w:after="0"/>
      <w:outlineLvl w:val="8"/>
    </w:pPr>
    <w:rPr>
      <w:rFonts w:cstheme="majorBidi" w:eastAsiaTheme="majorEastAsia"/>
      <w:color w:val="272727" w:themeColor="text1" w:themeTint="0000D8"/>
    </w:rPr>
  </w:style>
  <w:style w:type="character" w:styleId="Zadanifontodlomka" w:default="1">
    <w:name w:val="Default Paragraph Font"/>
    <w:uiPriority w:val="1"/>
    <w:semiHidden w:val="1"/>
    <w:unhideWhenUsed w:val="1"/>
  </w:style>
  <w:style w:type="table" w:styleId="Obinatablic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popisa" w:default="1">
    <w:name w:val="No List"/>
    <w:uiPriority w:val="99"/>
    <w:semiHidden w:val="1"/>
    <w:unhideWhenUsed w:val="1"/>
  </w:style>
  <w:style w:type="character" w:styleId="Naslov1Char" w:customStyle="1">
    <w:name w:val="Naslov 1 Char"/>
    <w:basedOn w:val="Zadanifontodlomka"/>
    <w:link w:val="Naslov1"/>
    <w:uiPriority w:val="9"/>
    <w:rsid w:val="00170905"/>
    <w:rPr>
      <w:rFonts w:asciiTheme="majorHAnsi" w:cstheme="majorBidi" w:eastAsiaTheme="majorEastAsia" w:hAnsiTheme="majorHAnsi"/>
      <w:color w:val="2f5496" w:themeColor="accent1" w:themeShade="0000BF"/>
      <w:sz w:val="40"/>
      <w:szCs w:val="40"/>
    </w:rPr>
  </w:style>
  <w:style w:type="character" w:styleId="Naslov2Char" w:customStyle="1">
    <w:name w:val="Naslov 2 Char"/>
    <w:basedOn w:val="Zadanifontodlomka"/>
    <w:link w:val="Naslov2"/>
    <w:uiPriority w:val="9"/>
    <w:rsid w:val="00170905"/>
    <w:rPr>
      <w:rFonts w:asciiTheme="majorHAnsi" w:cstheme="majorBidi" w:eastAsiaTheme="majorEastAsia" w:hAnsiTheme="majorHAnsi"/>
      <w:color w:val="2f5496" w:themeColor="accent1" w:themeShade="0000BF"/>
      <w:sz w:val="32"/>
      <w:szCs w:val="32"/>
    </w:rPr>
  </w:style>
  <w:style w:type="character" w:styleId="Naslov3Char" w:customStyle="1">
    <w:name w:val="Naslov 3 Char"/>
    <w:basedOn w:val="Zadanifontodlomka"/>
    <w:link w:val="Naslov3"/>
    <w:uiPriority w:val="9"/>
    <w:semiHidden w:val="1"/>
    <w:rsid w:val="00170905"/>
    <w:rPr>
      <w:rFonts w:cstheme="majorBidi" w:eastAsiaTheme="majorEastAsia"/>
      <w:color w:val="2f5496" w:themeColor="accent1" w:themeShade="0000BF"/>
      <w:sz w:val="28"/>
      <w:szCs w:val="28"/>
    </w:rPr>
  </w:style>
  <w:style w:type="character" w:styleId="Naslov4Char" w:customStyle="1">
    <w:name w:val="Naslov 4 Char"/>
    <w:basedOn w:val="Zadanifontodlomka"/>
    <w:link w:val="Naslov4"/>
    <w:uiPriority w:val="9"/>
    <w:semiHidden w:val="1"/>
    <w:rsid w:val="00170905"/>
    <w:rPr>
      <w:rFonts w:cstheme="majorBidi" w:eastAsiaTheme="majorEastAsia"/>
      <w:i w:val="1"/>
      <w:iCs w:val="1"/>
      <w:color w:val="2f5496" w:themeColor="accent1" w:themeShade="0000BF"/>
    </w:rPr>
  </w:style>
  <w:style w:type="character" w:styleId="Naslov5Char" w:customStyle="1">
    <w:name w:val="Naslov 5 Char"/>
    <w:basedOn w:val="Zadanifontodlomka"/>
    <w:link w:val="Naslov5"/>
    <w:uiPriority w:val="9"/>
    <w:semiHidden w:val="1"/>
    <w:rsid w:val="00170905"/>
    <w:rPr>
      <w:rFonts w:cstheme="majorBidi" w:eastAsiaTheme="majorEastAsia"/>
      <w:color w:val="2f5496" w:themeColor="accent1" w:themeShade="0000BF"/>
    </w:rPr>
  </w:style>
  <w:style w:type="character" w:styleId="Naslov6Char" w:customStyle="1">
    <w:name w:val="Naslov 6 Char"/>
    <w:basedOn w:val="Zadanifontodlomka"/>
    <w:link w:val="Naslov6"/>
    <w:uiPriority w:val="9"/>
    <w:semiHidden w:val="1"/>
    <w:rsid w:val="00170905"/>
    <w:rPr>
      <w:rFonts w:cstheme="majorBidi" w:eastAsiaTheme="majorEastAsia"/>
      <w:i w:val="1"/>
      <w:iCs w:val="1"/>
      <w:color w:val="595959" w:themeColor="text1" w:themeTint="0000A6"/>
    </w:rPr>
  </w:style>
  <w:style w:type="character" w:styleId="Naslov7Char" w:customStyle="1">
    <w:name w:val="Naslov 7 Char"/>
    <w:basedOn w:val="Zadanifontodlomka"/>
    <w:link w:val="Naslov7"/>
    <w:uiPriority w:val="9"/>
    <w:semiHidden w:val="1"/>
    <w:rsid w:val="00170905"/>
    <w:rPr>
      <w:rFonts w:cstheme="majorBidi" w:eastAsiaTheme="majorEastAsia"/>
      <w:color w:val="595959" w:themeColor="text1" w:themeTint="0000A6"/>
    </w:rPr>
  </w:style>
  <w:style w:type="character" w:styleId="Naslov8Char" w:customStyle="1">
    <w:name w:val="Naslov 8 Char"/>
    <w:basedOn w:val="Zadanifontodlomka"/>
    <w:link w:val="Naslov8"/>
    <w:uiPriority w:val="9"/>
    <w:semiHidden w:val="1"/>
    <w:rsid w:val="00170905"/>
    <w:rPr>
      <w:rFonts w:cstheme="majorBidi" w:eastAsiaTheme="majorEastAsia"/>
      <w:i w:val="1"/>
      <w:iCs w:val="1"/>
      <w:color w:val="272727" w:themeColor="text1" w:themeTint="0000D8"/>
    </w:rPr>
  </w:style>
  <w:style w:type="character" w:styleId="Naslov9Char" w:customStyle="1">
    <w:name w:val="Naslov 9 Char"/>
    <w:basedOn w:val="Zadanifontodlomka"/>
    <w:link w:val="Naslov9"/>
    <w:uiPriority w:val="9"/>
    <w:semiHidden w:val="1"/>
    <w:rsid w:val="00170905"/>
    <w:rPr>
      <w:rFonts w:cstheme="majorBidi" w:eastAsiaTheme="majorEastAsia"/>
      <w:color w:val="272727" w:themeColor="text1" w:themeTint="0000D8"/>
    </w:rPr>
  </w:style>
  <w:style w:type="character" w:styleId="NaslovChar" w:customStyle="1">
    <w:name w:val="Naslov Char"/>
    <w:basedOn w:val="Zadanifontodlomka"/>
    <w:link w:val="Naslov"/>
    <w:uiPriority w:val="10"/>
    <w:rsid w:val="00170905"/>
    <w:rPr>
      <w:rFonts w:asciiTheme="majorHAnsi" w:cstheme="majorBidi" w:eastAsiaTheme="majorEastAsia" w:hAnsiTheme="majorHAnsi"/>
      <w:spacing w:val="-10"/>
      <w:kern w:val="28"/>
      <w:sz w:val="56"/>
      <w:szCs w:val="56"/>
    </w:rPr>
  </w:style>
  <w:style w:type="character" w:styleId="PodnaslovChar" w:customStyle="1">
    <w:name w:val="Podnaslov Char"/>
    <w:basedOn w:val="Zadanifontodlomka"/>
    <w:link w:val="Podnaslov"/>
    <w:uiPriority w:val="11"/>
    <w:rsid w:val="00170905"/>
    <w:rPr>
      <w:rFonts w:cstheme="majorBidi" w:eastAsiaTheme="majorEastAsia"/>
      <w:color w:val="595959" w:themeColor="text1" w:themeTint="0000A6"/>
      <w:spacing w:val="15"/>
      <w:sz w:val="28"/>
      <w:szCs w:val="28"/>
    </w:rPr>
  </w:style>
  <w:style w:type="paragraph" w:styleId="Citat">
    <w:name w:val="Quote"/>
    <w:basedOn w:val="Normal"/>
    <w:next w:val="Normal"/>
    <w:link w:val="CitatChar"/>
    <w:uiPriority w:val="29"/>
    <w:qFormat w:val="1"/>
    <w:rsid w:val="00170905"/>
    <w:pPr>
      <w:spacing w:before="160"/>
      <w:jc w:val="center"/>
    </w:pPr>
    <w:rPr>
      <w:i w:val="1"/>
      <w:iCs w:val="1"/>
      <w:color w:val="404040" w:themeColor="text1" w:themeTint="0000BF"/>
    </w:rPr>
  </w:style>
  <w:style w:type="character" w:styleId="CitatChar" w:customStyle="1">
    <w:name w:val="Citat Char"/>
    <w:basedOn w:val="Zadanifontodlomka"/>
    <w:link w:val="Citat"/>
    <w:uiPriority w:val="29"/>
    <w:rsid w:val="00170905"/>
    <w:rPr>
      <w:i w:val="1"/>
      <w:iCs w:val="1"/>
      <w:color w:val="404040" w:themeColor="text1" w:themeTint="0000BF"/>
    </w:rPr>
  </w:style>
  <w:style w:type="paragraph" w:styleId="Odlomakpopisa">
    <w:name w:val="List Paragraph"/>
    <w:basedOn w:val="Normal"/>
    <w:uiPriority w:val="34"/>
    <w:qFormat w:val="1"/>
    <w:rsid w:val="00170905"/>
    <w:pPr>
      <w:ind w:left="720"/>
      <w:contextualSpacing w:val="1"/>
    </w:pPr>
  </w:style>
  <w:style w:type="character" w:styleId="Jakoisticanje">
    <w:name w:val="Intense Emphasis"/>
    <w:basedOn w:val="Zadanifontodlomka"/>
    <w:uiPriority w:val="21"/>
    <w:qFormat w:val="1"/>
    <w:rsid w:val="00170905"/>
    <w:rPr>
      <w:i w:val="1"/>
      <w:iCs w:val="1"/>
      <w:color w:val="2f5496" w:themeColor="accent1" w:themeShade="0000BF"/>
    </w:rPr>
  </w:style>
  <w:style w:type="paragraph" w:styleId="Naglaencitat">
    <w:name w:val="Intense Quote"/>
    <w:basedOn w:val="Normal"/>
    <w:next w:val="Normal"/>
    <w:link w:val="NaglaencitatChar"/>
    <w:uiPriority w:val="30"/>
    <w:qFormat w:val="1"/>
    <w:rsid w:val="00170905"/>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NaglaencitatChar" w:customStyle="1">
    <w:name w:val="Naglašen citat Char"/>
    <w:basedOn w:val="Zadanifontodlomka"/>
    <w:link w:val="Naglaencitat"/>
    <w:uiPriority w:val="30"/>
    <w:rsid w:val="00170905"/>
    <w:rPr>
      <w:i w:val="1"/>
      <w:iCs w:val="1"/>
      <w:color w:val="2f5496" w:themeColor="accent1" w:themeShade="0000BF"/>
    </w:rPr>
  </w:style>
  <w:style w:type="character" w:styleId="Istaknutareferenca">
    <w:name w:val="Intense Reference"/>
    <w:basedOn w:val="Zadanifontodlomka"/>
    <w:uiPriority w:val="32"/>
    <w:qFormat w:val="1"/>
    <w:rsid w:val="00170905"/>
    <w:rPr>
      <w:b w:val="1"/>
      <w:bCs w:val="1"/>
      <w:smallCaps w:val="1"/>
      <w:color w:val="2f5496" w:themeColor="accent1" w:themeShade="0000BF"/>
      <w:spacing w:val="5"/>
    </w:rPr>
  </w:style>
  <w:style w:type="paragraph" w:styleId="Zaglavlje">
    <w:name w:val="header"/>
    <w:basedOn w:val="Normal"/>
    <w:link w:val="ZaglavljeChar"/>
    <w:uiPriority w:val="99"/>
    <w:unhideWhenUsed w:val="1"/>
    <w:rsid w:val="00170905"/>
    <w:pPr>
      <w:tabs>
        <w:tab w:val="center" w:pos="4680"/>
        <w:tab w:val="right" w:pos="9360"/>
      </w:tabs>
      <w:spacing w:after="0" w:line="240" w:lineRule="auto"/>
    </w:pPr>
  </w:style>
  <w:style w:type="character" w:styleId="ZaglavljeChar" w:customStyle="1">
    <w:name w:val="Zaglavlje Char"/>
    <w:basedOn w:val="Zadanifontodlomka"/>
    <w:link w:val="Zaglavlje"/>
    <w:uiPriority w:val="99"/>
    <w:rsid w:val="00170905"/>
  </w:style>
  <w:style w:type="paragraph" w:styleId="Podnoje">
    <w:name w:val="footer"/>
    <w:basedOn w:val="Normal"/>
    <w:link w:val="PodnojeChar"/>
    <w:uiPriority w:val="99"/>
    <w:unhideWhenUsed w:val="1"/>
    <w:rsid w:val="00170905"/>
    <w:pPr>
      <w:tabs>
        <w:tab w:val="center" w:pos="4680"/>
        <w:tab w:val="right" w:pos="9360"/>
      </w:tabs>
      <w:spacing w:after="0" w:line="240" w:lineRule="auto"/>
    </w:pPr>
  </w:style>
  <w:style w:type="character" w:styleId="PodnojeChar" w:customStyle="1">
    <w:name w:val="Podnožje Char"/>
    <w:basedOn w:val="Zadanifontodlomka"/>
    <w:link w:val="Podnoje"/>
    <w:uiPriority w:val="99"/>
    <w:rsid w:val="00170905"/>
  </w:style>
  <w:style w:type="character" w:styleId="Hiperveza">
    <w:name w:val="Hyperlink"/>
    <w:basedOn w:val="Zadanifontodlomka"/>
    <w:uiPriority w:val="99"/>
    <w:unhideWhenUsed w:val="1"/>
    <w:rsid w:val="001940D7"/>
    <w:rPr>
      <w:color w:val="0563c1" w:themeColor="hyperlink"/>
      <w:u w:val="single"/>
    </w:rPr>
  </w:style>
  <w:style w:type="character" w:styleId="Nerijeenospominjanje">
    <w:name w:val="Unresolved Mention"/>
    <w:basedOn w:val="Zadanifontodlomka"/>
    <w:uiPriority w:val="99"/>
    <w:semiHidden w:val="1"/>
    <w:unhideWhenUsed w:val="1"/>
    <w:rsid w:val="001940D7"/>
    <w:rPr>
      <w:color w:val="605e5c"/>
      <w:shd w:color="auto" w:fill="e1dfdd" w:val="clear"/>
    </w:rPr>
  </w:style>
  <w:style w:type="paragraph" w:styleId="StandardWeb">
    <w:name w:val="Normal (Web)"/>
    <w:basedOn w:val="Normal"/>
    <w:uiPriority w:val="99"/>
    <w:semiHidden w:val="1"/>
    <w:unhideWhenUsed w:val="1"/>
    <w:rsid w:val="0019393F"/>
    <w:rPr>
      <w:rFonts w:ascii="Times New Roman" w:cs="Times New Roman" w:hAnsi="Times New Roman"/>
    </w:rPr>
  </w:style>
  <w:style w:type="paragraph" w:styleId="Default" w:customStyle="1">
    <w:name w:val="Default"/>
    <w:rsid w:val="002C3D10"/>
    <w:pPr>
      <w:autoSpaceDE w:val="0"/>
      <w:autoSpaceDN w:val="0"/>
      <w:adjustRightInd w:val="0"/>
      <w:spacing w:after="0" w:line="240" w:lineRule="auto"/>
    </w:pPr>
    <w:rPr>
      <w:rFonts w:ascii="Arial" w:cs="Arial" w:eastAsia="Calibri" w:hAnsi="Arial"/>
      <w:color w:val="000000"/>
      <w:kern w:val="0"/>
      <w:lang w:eastAsia="hr-HR" w:val="hr-HR"/>
    </w:rPr>
  </w:style>
  <w:style w:type="character" w:styleId="Naglaeno">
    <w:name w:val="Strong"/>
    <w:basedOn w:val="Zadanifontodlomka"/>
    <w:uiPriority w:val="22"/>
    <w:qFormat w:val="1"/>
    <w:rsid w:val="008E1759"/>
    <w:rPr>
      <w:b w:val="1"/>
      <w:bCs w:val="1"/>
    </w:rPr>
  </w:style>
  <w:style w:type="paragraph" w:styleId="TOCNaslov">
    <w:name w:val="TOC Heading"/>
    <w:basedOn w:val="Naslov1"/>
    <w:next w:val="Normal"/>
    <w:uiPriority w:val="39"/>
    <w:unhideWhenUsed w:val="1"/>
    <w:qFormat w:val="1"/>
    <w:rsid w:val="007D299B"/>
    <w:pPr>
      <w:spacing w:after="0" w:before="240" w:line="259" w:lineRule="auto"/>
      <w:outlineLvl w:val="9"/>
    </w:pPr>
    <w:rPr>
      <w:kern w:val="0"/>
      <w:sz w:val="32"/>
      <w:szCs w:val="32"/>
      <w:lang w:eastAsia="hr-HR" w:val="hr-HR"/>
    </w:rPr>
  </w:style>
  <w:style w:type="paragraph" w:styleId="Sadraj1">
    <w:name w:val="toc 1"/>
    <w:basedOn w:val="Normal"/>
    <w:next w:val="Normal"/>
    <w:autoRedefine w:val="1"/>
    <w:uiPriority w:val="39"/>
    <w:unhideWhenUsed w:val="1"/>
    <w:rsid w:val="007D299B"/>
    <w:pPr>
      <w:spacing w:after="100"/>
    </w:pPr>
  </w:style>
  <w:style w:type="paragraph" w:styleId="Sadraj2">
    <w:name w:val="toc 2"/>
    <w:basedOn w:val="Normal"/>
    <w:next w:val="Normal"/>
    <w:autoRedefine w:val="1"/>
    <w:uiPriority w:val="39"/>
    <w:unhideWhenUsed w:val="1"/>
    <w:rsid w:val="007D299B"/>
    <w:pPr>
      <w:spacing w:after="100"/>
      <w:ind w:left="240"/>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chart" Target="charts/chart1.xml"/><Relationship Id="rId8" Type="http://schemas.openxmlformats.org/officeDocument/2006/relationships/chart" Target="charts/chart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ribnjak.hr" TargetMode="External"/><Relationship Id="rId2" Type="http://schemas.openxmlformats.org/officeDocument/2006/relationships/hyperlink" Target="mailto:ribnjak@ribnjak.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package" Target="../embeddings/Microsoft_Excel_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Prihodi i primici u odnosu na plan za 2025.</a:t>
            </a:r>
            <a:endParaRPr lang="hr-H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hr-HR"/>
        </a:p>
      </c:txPr>
    </c:title>
    <c:autoTitleDeleted val="0"/>
    <c:plotArea>
      <c:layout/>
      <c:barChart>
        <c:barDir val="col"/>
        <c:grouping val="clustered"/>
        <c:varyColors val="0"/>
        <c:ser>
          <c:idx val="0"/>
          <c:order val="0"/>
          <c:tx>
            <c:strRef>
              <c:f>List1!$B$1</c:f>
              <c:strCache>
                <c:ptCount val="1"/>
                <c:pt idx="0">
                  <c:v>Plan 2025.</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List1!$A$2:$A$6</c:f>
              <c:strCache>
                <c:ptCount val="5"/>
                <c:pt idx="0">
                  <c:v>Izvor 11- Grad</c:v>
                </c:pt>
                <c:pt idx="1">
                  <c:v>Izvor 31- Vlastiti</c:v>
                </c:pt>
                <c:pt idx="2">
                  <c:v>Izvor 52- Pomoći</c:v>
                </c:pt>
                <c:pt idx="3">
                  <c:v>Izvor 61- Donacije</c:v>
                </c:pt>
                <c:pt idx="4">
                  <c:v>Izvor 43-Namjenski</c:v>
                </c:pt>
              </c:strCache>
            </c:strRef>
          </c:cat>
          <c:val>
            <c:numRef>
              <c:f>List1!$B$2:$B$6</c:f>
              <c:numCache>
                <c:formatCode>#,##0.00</c:formatCode>
                <c:ptCount val="5"/>
                <c:pt idx="0">
                  <c:v>938100</c:v>
                </c:pt>
                <c:pt idx="1">
                  <c:v>126500</c:v>
                </c:pt>
                <c:pt idx="2">
                  <c:v>0</c:v>
                </c:pt>
                <c:pt idx="3">
                  <c:v>0</c:v>
                </c:pt>
                <c:pt idx="4">
                  <c:v>0</c:v>
                </c:pt>
              </c:numCache>
            </c:numRef>
          </c:val>
          <c:extLst>
            <c:ext xmlns:c16="http://schemas.microsoft.com/office/drawing/2014/chart" uri="{C3380CC4-5D6E-409C-BE32-E72D297353CC}">
              <c16:uniqueId val="{00000000-1AEC-4F71-8CCB-B02C80AD1573}"/>
            </c:ext>
          </c:extLst>
        </c:ser>
        <c:ser>
          <c:idx val="1"/>
          <c:order val="1"/>
          <c:tx>
            <c:strRef>
              <c:f>List1!$C$1</c:f>
              <c:strCache>
                <c:ptCount val="1"/>
                <c:pt idx="0">
                  <c:v>Izvršenje 2025.</c:v>
                </c:pt>
              </c:strCache>
            </c:strRef>
          </c:tx>
          <c:spPr>
            <a:solidFill>
              <a:schemeClr val="accent2"/>
            </a:solidFill>
            <a:ln>
              <a:noFill/>
            </a:ln>
            <a:effectLst/>
          </c:spPr>
          <c:invertIfNegative val="0"/>
          <c:dLbls>
            <c:dLbl>
              <c:idx val="0"/>
              <c:layout>
                <c:manualLayout>
                  <c:x val="3.9351851851851853E-2"/>
                  <c:y val="6.891798759476223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AEC-4F71-8CCB-B02C80AD1573}"/>
                </c:ext>
              </c:extLst>
            </c:dLbl>
            <c:dLbl>
              <c:idx val="1"/>
              <c:layout>
                <c:manualLayout>
                  <c:x val="5.5555555555555469E-2"/>
                  <c:y val="-3.445899379738237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AEC-4F71-8CCB-B02C80AD1573}"/>
                </c:ext>
              </c:extLst>
            </c:dLbl>
            <c:dLbl>
              <c:idx val="2"/>
              <c:layout>
                <c:manualLayout>
                  <c:x val="2.777777777777777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AEC-4F71-8CCB-B02C80AD1573}"/>
                </c:ext>
              </c:extLst>
            </c:dLbl>
            <c:dLbl>
              <c:idx val="3"/>
              <c:layout>
                <c:manualLayout>
                  <c:x val="3.0092592592592508E-2"/>
                  <c:y val="-1.2634818433872357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AEC-4F71-8CCB-B02C80AD1573}"/>
                </c:ext>
              </c:extLst>
            </c:dLbl>
            <c:dLbl>
              <c:idx val="4"/>
              <c:layout>
                <c:manualLayout>
                  <c:x val="2.3148148148148147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EC-4F71-8CCB-B02C80AD157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List1!$A$2:$A$6</c:f>
              <c:strCache>
                <c:ptCount val="5"/>
                <c:pt idx="0">
                  <c:v>Izvor 11- Grad</c:v>
                </c:pt>
                <c:pt idx="1">
                  <c:v>Izvor 31- Vlastiti</c:v>
                </c:pt>
                <c:pt idx="2">
                  <c:v>Izvor 52- Pomoći</c:v>
                </c:pt>
                <c:pt idx="3">
                  <c:v>Izvor 61- Donacije</c:v>
                </c:pt>
                <c:pt idx="4">
                  <c:v>Izvor 43-Namjenski</c:v>
                </c:pt>
              </c:strCache>
            </c:strRef>
          </c:cat>
          <c:val>
            <c:numRef>
              <c:f>List1!$C$2:$C$6</c:f>
              <c:numCache>
                <c:formatCode>#,##0.00</c:formatCode>
                <c:ptCount val="5"/>
                <c:pt idx="0">
                  <c:v>829946.56</c:v>
                </c:pt>
                <c:pt idx="1">
                  <c:v>136753.21</c:v>
                </c:pt>
                <c:pt idx="2">
                  <c:v>8800</c:v>
                </c:pt>
                <c:pt idx="3">
                  <c:v>2330</c:v>
                </c:pt>
                <c:pt idx="4">
                  <c:v>676.51</c:v>
                </c:pt>
              </c:numCache>
            </c:numRef>
          </c:val>
          <c:extLst>
            <c:ext xmlns:c16="http://schemas.microsoft.com/office/drawing/2014/chart" uri="{C3380CC4-5D6E-409C-BE32-E72D297353CC}">
              <c16:uniqueId val="{00000001-1AEC-4F71-8CCB-B02C80AD1573}"/>
            </c:ext>
          </c:extLst>
        </c:ser>
        <c:dLbls>
          <c:dLblPos val="outEnd"/>
          <c:showLegendKey val="0"/>
          <c:showVal val="1"/>
          <c:showCatName val="0"/>
          <c:showSerName val="0"/>
          <c:showPercent val="0"/>
          <c:showBubbleSize val="0"/>
        </c:dLbls>
        <c:gapWidth val="219"/>
        <c:overlap val="-27"/>
        <c:axId val="1874437087"/>
        <c:axId val="1874437567"/>
      </c:barChart>
      <c:catAx>
        <c:axId val="18744370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74437567"/>
        <c:crosses val="autoZero"/>
        <c:auto val="1"/>
        <c:lblAlgn val="ctr"/>
        <c:lblOffset val="100"/>
        <c:noMultiLvlLbl val="0"/>
      </c:catAx>
      <c:valAx>
        <c:axId val="18744375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87443708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pieChart>
        <c:varyColors val="1"/>
        <c:ser>
          <c:idx val="0"/>
          <c:order val="0"/>
          <c:tx>
            <c:strRef>
              <c:f>List1!$B$1</c:f>
              <c:strCache>
                <c:ptCount val="1"/>
                <c:pt idx="0">
                  <c:v>Izvršenje 2025.</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6BB-4420-87C1-889C358FCEA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D3EB-4B88-8A14-3BB5429492F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3-D3EB-4B88-8A14-3BB5429492F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1-D3EB-4B88-8A14-3BB5429492F1}"/>
              </c:ext>
            </c:extLst>
          </c:dPt>
          <c:dLbls>
            <c:dLbl>
              <c:idx val="1"/>
              <c:layout>
                <c:manualLayout>
                  <c:x val="-2.7777777777777776E-2"/>
                  <c:y val="-1.8187620582885705E-17"/>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D3EB-4B88-8A14-3BB5429492F1}"/>
                </c:ext>
              </c:extLst>
            </c:dLbl>
            <c:dLbl>
              <c:idx val="2"/>
              <c:layout>
                <c:manualLayout>
                  <c:x val="-3.0092592592592591E-2"/>
                  <c:y val="-7.9365079365079447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D3EB-4B88-8A14-3BB5429492F1}"/>
                </c:ext>
              </c:extLst>
            </c:dLbl>
            <c:dLbl>
              <c:idx val="3"/>
              <c:layout>
                <c:manualLayout>
                  <c:x val="0.10416666666666667"/>
                  <c:y val="3.968253968253968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D3EB-4B88-8A14-3BB5429492F1}"/>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sr-Latn-R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List1!$A$2:$A$5</c:f>
              <c:strCache>
                <c:ptCount val="4"/>
                <c:pt idx="0">
                  <c:v>Izvor 11</c:v>
                </c:pt>
                <c:pt idx="1">
                  <c:v>Izvor 31</c:v>
                </c:pt>
                <c:pt idx="2">
                  <c:v>Izvor 52</c:v>
                </c:pt>
                <c:pt idx="3">
                  <c:v>Izvor 61</c:v>
                </c:pt>
              </c:strCache>
            </c:strRef>
          </c:cat>
          <c:val>
            <c:numRef>
              <c:f>List1!$B$2:$B$5</c:f>
              <c:numCache>
                <c:formatCode>General</c:formatCode>
                <c:ptCount val="4"/>
                <c:pt idx="0">
                  <c:v>869931.99</c:v>
                </c:pt>
                <c:pt idx="1">
                  <c:v>131125.20000000001</c:v>
                </c:pt>
                <c:pt idx="2">
                  <c:v>22697.040000000001</c:v>
                </c:pt>
                <c:pt idx="3">
                  <c:v>2330</c:v>
                </c:pt>
              </c:numCache>
            </c:numRef>
          </c:val>
          <c:extLst>
            <c:ext xmlns:c16="http://schemas.microsoft.com/office/drawing/2014/chart" uri="{C3380CC4-5D6E-409C-BE32-E72D297353CC}">
              <c16:uniqueId val="{00000000-D3EB-4B88-8A14-3BB5429492F1}"/>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tBjDCMulSVmTR8Rj+YKb+1MwDA==">CgMxLjAyDmgueTBqNm81cmt5cmluMg5oLml4ajNqejMwcjljcDIOaC44eDNwemo3eG84bXUyDWgueW1neTd3YXdpZXgyDmguODhsZDExcW90cmZhMg5oLms2cjA2MmNwbWl4cDIOaC5mMTcza2NmNWFpMGoyDmgudHZxMm4yNWM1YnZoMg1oLjQ2ZHBpM3ZnM3A1Mg5oLjQyc2M1dWhucDgwZzgAciExOGpMaHc3ZDFNMzIxU2ZzMFZOQzFzZ212U0dSRnBzaTI=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2026-02-19T16:42:00Z</dcterms:created>
  <dc:creator>Ivana Vulić</dc:creator>
</cp:coreProperties>
</file>